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firstLine="0"/>
        <w:jc w:val="center"/>
        <w:rPr>
          <w:b/>
          <w:caps/>
          <w:sz w:val="32"/>
          <w:szCs w:val="44"/>
        </w:rPr>
      </w:pPr>
      <w:bookmarkStart w:id="0" w:name="_dxtcompanion_actionscomplete"/>
      <w:bookmarkStart w:id="1" w:name="_GoBack"/>
      <w:bookmarkEnd w:id="1"/>
    </w:p>
    <w:p>
      <w:pPr>
        <w:ind w:firstLine="0"/>
        <w:jc w:val="center"/>
        <w:rPr>
          <w:b/>
          <w:caps/>
          <w:sz w:val="32"/>
          <w:szCs w:val="44"/>
        </w:rPr>
      </w:pPr>
      <w:r>
        <w:rPr>
          <w:b/>
          <w:caps/>
          <w:sz w:val="32"/>
          <w:szCs w:val="44"/>
        </w:rPr>
        <w:t>Distributed energy resource</w:t>
      </w:r>
      <w:r>
        <w:rPr>
          <w:b/>
          <w:caps/>
          <w:sz w:val="32"/>
          <w:szCs w:val="44"/>
        </w:rPr>
        <w:br/>
        <w:t>power purchase agreement</w:t>
      </w:r>
    </w:p>
    <w:p>
      <w:pPr>
        <w:ind w:firstLine="0"/>
        <w:jc w:val="center"/>
        <w:rPr>
          <w:b/>
          <w:caps/>
        </w:rPr>
      </w:pPr>
      <w:r>
        <w:rPr>
          <w:b/>
          <w:caps/>
        </w:rPr>
        <w:t>BETWEEN</w:t>
      </w:r>
    </w:p>
    <w:p>
      <w:pPr>
        <w:ind w:firstLine="0"/>
        <w:jc w:val="center"/>
      </w:pPr>
      <w:r>
        <w:rPr>
          <w:b/>
          <w:caps/>
          <w:sz w:val="32"/>
          <w:szCs w:val="44"/>
        </w:rPr>
        <w:t>PUGET SOUND ENERGY, INC.</w:t>
      </w:r>
    </w:p>
    <w:p>
      <w:pPr>
        <w:ind w:firstLine="0"/>
        <w:jc w:val="center"/>
        <w:rPr>
          <w:b/>
          <w:bCs/>
        </w:rPr>
      </w:pPr>
      <w:bookmarkStart w:id="2" w:name="_DV_M6"/>
      <w:bookmarkEnd w:id="2"/>
      <w:r>
        <w:rPr>
          <w:b/>
          <w:bCs/>
        </w:rPr>
        <w:t>as PSE</w:t>
      </w:r>
    </w:p>
    <w:p>
      <w:pPr>
        <w:ind w:firstLine="0"/>
        <w:jc w:val="center"/>
        <w:rPr>
          <w:b/>
          <w:bCs/>
        </w:rPr>
      </w:pPr>
      <w:bookmarkStart w:id="3" w:name="_DV_M7"/>
      <w:bookmarkStart w:id="4" w:name="_DV_M8"/>
      <w:bookmarkEnd w:id="3"/>
      <w:bookmarkEnd w:id="4"/>
      <w:r>
        <w:rPr>
          <w:b/>
          <w:bCs/>
        </w:rPr>
        <w:t>AND</w:t>
      </w:r>
    </w:p>
    <w:p>
      <w:pPr>
        <w:ind w:firstLine="0"/>
        <w:jc w:val="center"/>
        <w:rPr>
          <w:b/>
          <w:bCs/>
        </w:rPr>
      </w:pPr>
      <w:bookmarkStart w:id="5" w:name="_DV_M9"/>
      <w:bookmarkStart w:id="6" w:name="_DV_M10"/>
      <w:bookmarkEnd w:id="5"/>
      <w:bookmarkEnd w:id="6"/>
      <w:r>
        <w:rPr>
          <w:rFonts w:ascii="Times New Roman Bold" w:hAnsi="Times New Roman Bold"/>
          <w:b/>
          <w:caps/>
          <w:sz w:val="32"/>
          <w:szCs w:val="32"/>
        </w:rPr>
        <w:t>[]</w:t>
      </w:r>
    </w:p>
    <w:p>
      <w:pPr>
        <w:ind w:firstLine="0"/>
        <w:jc w:val="center"/>
        <w:rPr>
          <w:b/>
          <w:bCs/>
        </w:rPr>
      </w:pPr>
      <w:r>
        <w:rPr>
          <w:b/>
          <w:bCs/>
        </w:rPr>
        <w:t>as Seller</w:t>
      </w:r>
    </w:p>
    <w:p>
      <w:pPr>
        <w:ind w:firstLine="0"/>
        <w:jc w:val="center"/>
        <w:rPr>
          <w:b/>
          <w:bCs/>
        </w:rPr>
      </w:pPr>
      <w:bookmarkStart w:id="7" w:name="_DV_M11"/>
      <w:bookmarkEnd w:id="7"/>
      <w:r>
        <w:rPr>
          <w:b/>
          <w:bCs/>
        </w:rPr>
        <w:t>dated as of</w:t>
      </w:r>
    </w:p>
    <w:p>
      <w:pPr>
        <w:ind w:firstLine="0"/>
        <w:jc w:val="center"/>
        <w:rPr>
          <w:b/>
          <w:bCs/>
        </w:rPr>
      </w:pPr>
      <w:r>
        <w:rPr>
          <w:b/>
          <w:bCs/>
        </w:rPr>
        <w:t>[●], 2024</w:t>
      </w:r>
    </w:p>
    <w:p>
      <w:pPr>
        <w:ind w:firstLine="0"/>
        <w:jc w:val="center"/>
        <w:rPr>
          <w:b/>
          <w:bCs/>
          <w:color w:val="000000"/>
          <w:sz w:val="28"/>
          <w:szCs w:val="28"/>
        </w:rPr>
      </w:pPr>
      <w:r>
        <w:rPr>
          <w:b/>
          <w:bCs/>
          <w:color w:val="000000"/>
          <w:sz w:val="28"/>
          <w:szCs w:val="28"/>
        </w:rPr>
        <w:t xml:space="preserve">[] COUNTY, WASHINGTON </w:t>
      </w:r>
    </w:p>
    <w:tbl>
      <w:tblPr>
        <w:tblStyle w:val="TableGrid"/>
        <w:tblW w:w="0" w:type="auto"/>
        <w:tblLook w:val="04A0" w:firstRow="1" w:lastRow="0" w:firstColumn="1" w:lastColumn="0" w:noHBand="0" w:noVBand="1"/>
      </w:tblPr>
      <w:tblGrid>
        <w:gridCol w:w="9350"/>
      </w:tblGrid>
      <w:tr>
        <w:tc>
          <w:tcPr>
            <w:tcW w:w="9350" w:type="dxa"/>
          </w:tcPr>
          <w:p>
            <w:pPr>
              <w:spacing w:after="160"/>
              <w:ind w:firstLine="0"/>
              <w:rPr>
                <w:b/>
              </w:rPr>
            </w:pPr>
            <w:r>
              <w:rPr>
                <w:b/>
                <w:bCs/>
              </w:rPr>
              <w:t>NOTICE</w:t>
            </w:r>
            <w:r>
              <w:t>: This Draft Prototype Agreement sets forth the current requirements that PSE wants the Respondent to address or incorporate into any proposal made to PSE that contemplates the sale of clean energy products to PSE, either on a unit-contingent or not unit contingent basis. It is intended to identify certain, but not all, of the elements of a potential transaction that would be embodied in a definitive power purchase agreement (“PPA”). This Draft Prototype Agreement may serve as the basis for a proposal involving a clean energy generating facility in development or in operation. The terms presented and/or bracketed herein are indicative of PSE’s expectations and may be subject to negotiation depending upon the particular nature of the proposal and other factors. By submitting its proposal, Respondent acknowledges that the RFP, including this Draft Prototype Agreement, has been prepared by PSE as part of PSE's ongoing process of integrated resource planning and that PSE is considering alternative arrangements for the procurement of energy products. This Draft Prototype Agreement is an integral part of, and subject to, the terms and conditions of the RFP. This Draft Prototype Agreement shall not be interpreted as an offer, agreement or commitment by PSE to acquire any energy product. Also, this Draft Prototype Agreement shall not limit, restrict or obligate PSE with regard to the conduct of its integrated resource planning process, the potential implementation of any plan or program of resource procurement or the actual procurement of any energy product. PSE reserves the right to reject any and all proposals received in response to the RFP, request the submission of different proposals for other energy products and/or seek to acquire energy products from one or more parties other than any Respondent. PSE may also modify, change, supplement or delete any and all provisions of this Draft Prototype Agreement, or withdraw and cancel the RFP.</w:t>
            </w:r>
          </w:p>
        </w:tc>
      </w:tr>
    </w:tbl>
    <w:p>
      <w:pPr>
        <w:spacing w:after="160"/>
        <w:ind w:firstLine="0"/>
        <w:jc w:val="left"/>
        <w:rPr>
          <w:b/>
        </w:rPr>
      </w:pPr>
    </w:p>
    <w:p>
      <w:pPr>
        <w:pStyle w:val="TOCHeading"/>
      </w:pPr>
      <w:bookmarkStart w:id="8" w:name="TOCHeading_1"/>
      <w:r>
        <w:lastRenderedPageBreak/>
        <w:t>TABLE OF CONTENTS</w:t>
      </w:r>
    </w:p>
    <w:p>
      <w:pPr>
        <w:pStyle w:val="TOCPage"/>
      </w:pPr>
      <w:bookmarkStart w:id="9" w:name="TOCPage_1"/>
      <w:bookmarkEnd w:id="8"/>
      <w:r>
        <w:t>Page</w:t>
      </w:r>
    </w:p>
    <w:bookmarkEnd w:id="9"/>
    <w:p>
      <w:pPr>
        <w:pStyle w:val="TOC1"/>
        <w:rPr>
          <w:rFonts w:asciiTheme="minorHAnsi" w:eastAsiaTheme="minorEastAsia" w:hAnsiTheme="minorHAnsi" w:cstheme="minorBidi"/>
          <w:noProof/>
          <w:kern w:val="2"/>
          <w14:ligatures w14:val="standardContextual"/>
        </w:rPr>
      </w:pPr>
      <w:r>
        <w:fldChar w:fldCharType="begin"/>
      </w:r>
      <w:r>
        <w:instrText xml:space="preserve"> TOC \t "APPENDIX_outlinedc_1,1,N1,1" \h </w:instrText>
      </w:r>
      <w:r>
        <w:fldChar w:fldCharType="separate"/>
      </w:r>
      <w:hyperlink w:anchor="_Toc166243841" w:history="1">
        <w:r>
          <w:rPr>
            <w:rStyle w:val="Hyperlink"/>
            <w:noProof/>
            <w:specVanish/>
          </w:rPr>
          <w:t>1</w:t>
        </w:r>
        <w:r>
          <w:rPr>
            <w:rFonts w:asciiTheme="minorHAnsi" w:eastAsiaTheme="minorEastAsia" w:hAnsiTheme="minorHAnsi" w:cstheme="minorBidi"/>
            <w:noProof/>
            <w:kern w:val="2"/>
            <w14:ligatures w14:val="standardContextual"/>
          </w:rPr>
          <w:tab/>
        </w:r>
        <w:r>
          <w:rPr>
            <w:rStyle w:val="Hyperlink"/>
            <w:noProof/>
          </w:rPr>
          <w:t>Definitions</w:t>
        </w:r>
        <w:r>
          <w:rPr>
            <w:noProof/>
          </w:rPr>
          <w:tab/>
        </w:r>
        <w:r>
          <w:rPr>
            <w:noProof/>
          </w:rPr>
          <w:fldChar w:fldCharType="begin"/>
        </w:r>
        <w:r>
          <w:rPr>
            <w:noProof/>
          </w:rPr>
          <w:instrText xml:space="preserve"> PAGEREF _Toc166243841 \h </w:instrText>
        </w:r>
        <w:r>
          <w:rPr>
            <w:noProof/>
          </w:rPr>
        </w:r>
        <w:r>
          <w:rPr>
            <w:noProof/>
          </w:rPr>
          <w:fldChar w:fldCharType="separate"/>
        </w:r>
        <w:r>
          <w:rPr>
            <w:noProof/>
          </w:rPr>
          <w:t>1</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3842" w:history="1">
        <w:r>
          <w:rPr>
            <w:rStyle w:val="Hyperlink"/>
            <w:noProof/>
            <w:specVanish/>
          </w:rPr>
          <w:t>2</w:t>
        </w:r>
        <w:r>
          <w:rPr>
            <w:rFonts w:asciiTheme="minorHAnsi" w:eastAsiaTheme="minorEastAsia" w:hAnsiTheme="minorHAnsi" w:cstheme="minorBidi"/>
            <w:noProof/>
            <w:kern w:val="2"/>
            <w14:ligatures w14:val="standardContextual"/>
          </w:rPr>
          <w:tab/>
        </w:r>
        <w:r>
          <w:rPr>
            <w:rStyle w:val="Hyperlink"/>
            <w:noProof/>
          </w:rPr>
          <w:t>Description of Facility</w:t>
        </w:r>
        <w:r>
          <w:rPr>
            <w:noProof/>
          </w:rPr>
          <w:tab/>
        </w:r>
        <w:r>
          <w:rPr>
            <w:noProof/>
          </w:rPr>
          <w:fldChar w:fldCharType="begin"/>
        </w:r>
        <w:r>
          <w:rPr>
            <w:noProof/>
          </w:rPr>
          <w:instrText xml:space="preserve"> PAGEREF _Toc166243842 \h </w:instrText>
        </w:r>
        <w:r>
          <w:rPr>
            <w:noProof/>
          </w:rPr>
        </w:r>
        <w:r>
          <w:rPr>
            <w:noProof/>
          </w:rPr>
          <w:fldChar w:fldCharType="separate"/>
        </w:r>
        <w:r>
          <w:rPr>
            <w:noProof/>
          </w:rPr>
          <w:t>9</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3843" w:history="1">
        <w:r>
          <w:rPr>
            <w:rStyle w:val="Hyperlink"/>
            <w:noProof/>
            <w:specVanish/>
          </w:rPr>
          <w:t>3</w:t>
        </w:r>
        <w:r>
          <w:rPr>
            <w:rFonts w:asciiTheme="minorHAnsi" w:eastAsiaTheme="minorEastAsia" w:hAnsiTheme="minorHAnsi" w:cstheme="minorBidi"/>
            <w:noProof/>
            <w:kern w:val="2"/>
            <w14:ligatures w14:val="standardContextual"/>
          </w:rPr>
          <w:tab/>
        </w:r>
        <w:r>
          <w:rPr>
            <w:rStyle w:val="Hyperlink"/>
            <w:noProof/>
          </w:rPr>
          <w:t>Term; Seller Termination</w:t>
        </w:r>
        <w:r>
          <w:rPr>
            <w:noProof/>
          </w:rPr>
          <w:tab/>
        </w:r>
        <w:r>
          <w:rPr>
            <w:noProof/>
          </w:rPr>
          <w:fldChar w:fldCharType="begin"/>
        </w:r>
        <w:r>
          <w:rPr>
            <w:noProof/>
          </w:rPr>
          <w:instrText xml:space="preserve"> PAGEREF _Toc166243843 \h </w:instrText>
        </w:r>
        <w:r>
          <w:rPr>
            <w:noProof/>
          </w:rPr>
        </w:r>
        <w:r>
          <w:rPr>
            <w:noProof/>
          </w:rPr>
          <w:fldChar w:fldCharType="separate"/>
        </w:r>
        <w:r>
          <w:rPr>
            <w:noProof/>
          </w:rPr>
          <w:t>9</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3844" w:history="1">
        <w:r>
          <w:rPr>
            <w:rStyle w:val="Hyperlink"/>
            <w:noProof/>
            <w:specVanish/>
          </w:rPr>
          <w:t>4</w:t>
        </w:r>
        <w:r>
          <w:rPr>
            <w:rFonts w:asciiTheme="minorHAnsi" w:eastAsiaTheme="minorEastAsia" w:hAnsiTheme="minorHAnsi" w:cstheme="minorBidi"/>
            <w:noProof/>
            <w:kern w:val="2"/>
            <w14:ligatures w14:val="standardContextual"/>
          </w:rPr>
          <w:tab/>
        </w:r>
        <w:r>
          <w:rPr>
            <w:rStyle w:val="Hyperlink"/>
            <w:noProof/>
          </w:rPr>
          <w:t>Sale and Purchase of Solar Output and Other Attributes</w:t>
        </w:r>
        <w:r>
          <w:rPr>
            <w:noProof/>
          </w:rPr>
          <w:tab/>
        </w:r>
        <w:r>
          <w:rPr>
            <w:noProof/>
          </w:rPr>
          <w:fldChar w:fldCharType="begin"/>
        </w:r>
        <w:r>
          <w:rPr>
            <w:noProof/>
          </w:rPr>
          <w:instrText xml:space="preserve"> PAGEREF _Toc166243844 \h </w:instrText>
        </w:r>
        <w:r>
          <w:rPr>
            <w:noProof/>
          </w:rPr>
        </w:r>
        <w:r>
          <w:rPr>
            <w:noProof/>
          </w:rPr>
          <w:fldChar w:fldCharType="separate"/>
        </w:r>
        <w:r>
          <w:rPr>
            <w:noProof/>
          </w:rPr>
          <w:t>10</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3845" w:history="1">
        <w:r>
          <w:rPr>
            <w:rStyle w:val="Hyperlink"/>
            <w:noProof/>
            <w:specVanish/>
          </w:rPr>
          <w:t>5</w:t>
        </w:r>
        <w:r>
          <w:rPr>
            <w:rFonts w:asciiTheme="minorHAnsi" w:eastAsiaTheme="minorEastAsia" w:hAnsiTheme="minorHAnsi" w:cstheme="minorBidi"/>
            <w:noProof/>
            <w:kern w:val="2"/>
            <w14:ligatures w14:val="standardContextual"/>
          </w:rPr>
          <w:tab/>
        </w:r>
        <w:r>
          <w:rPr>
            <w:rStyle w:val="Hyperlink"/>
            <w:noProof/>
          </w:rPr>
          <w:t>Price</w:t>
        </w:r>
        <w:r>
          <w:rPr>
            <w:noProof/>
          </w:rPr>
          <w:tab/>
        </w:r>
        <w:r>
          <w:rPr>
            <w:noProof/>
          </w:rPr>
          <w:fldChar w:fldCharType="begin"/>
        </w:r>
        <w:r>
          <w:rPr>
            <w:noProof/>
          </w:rPr>
          <w:instrText xml:space="preserve"> PAGEREF _Toc166243845 \h </w:instrText>
        </w:r>
        <w:r>
          <w:rPr>
            <w:noProof/>
          </w:rPr>
        </w:r>
        <w:r>
          <w:rPr>
            <w:noProof/>
          </w:rPr>
          <w:fldChar w:fldCharType="separate"/>
        </w:r>
        <w:r>
          <w:rPr>
            <w:noProof/>
          </w:rPr>
          <w:t>10</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3846" w:history="1">
        <w:r>
          <w:rPr>
            <w:rStyle w:val="Hyperlink"/>
            <w:noProof/>
          </w:rPr>
          <w:t>6</w:t>
        </w:r>
        <w:r>
          <w:rPr>
            <w:rFonts w:asciiTheme="minorHAnsi" w:eastAsiaTheme="minorEastAsia" w:hAnsiTheme="minorHAnsi" w:cstheme="minorBidi"/>
            <w:noProof/>
            <w:kern w:val="2"/>
            <w14:ligatures w14:val="standardContextual"/>
          </w:rPr>
          <w:tab/>
        </w:r>
        <w:r>
          <w:rPr>
            <w:rStyle w:val="Hyperlink"/>
            <w:noProof/>
          </w:rPr>
          <w:t>Performance Security.</w:t>
        </w:r>
        <w:r>
          <w:rPr>
            <w:noProof/>
          </w:rPr>
          <w:tab/>
        </w:r>
        <w:r>
          <w:rPr>
            <w:noProof/>
          </w:rPr>
          <w:fldChar w:fldCharType="begin"/>
        </w:r>
        <w:r>
          <w:rPr>
            <w:noProof/>
          </w:rPr>
          <w:instrText xml:space="preserve"> PAGEREF _Toc166243846 \h </w:instrText>
        </w:r>
        <w:r>
          <w:rPr>
            <w:noProof/>
          </w:rPr>
        </w:r>
        <w:r>
          <w:rPr>
            <w:noProof/>
          </w:rPr>
          <w:fldChar w:fldCharType="separate"/>
        </w:r>
        <w:r>
          <w:rPr>
            <w:noProof/>
          </w:rPr>
          <w:t>11</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3847" w:history="1">
        <w:r>
          <w:rPr>
            <w:rStyle w:val="Hyperlink"/>
            <w:noProof/>
            <w:specVanish/>
          </w:rPr>
          <w:t>7</w:t>
        </w:r>
        <w:r>
          <w:rPr>
            <w:rFonts w:asciiTheme="minorHAnsi" w:eastAsiaTheme="minorEastAsia" w:hAnsiTheme="minorHAnsi" w:cstheme="minorBidi"/>
            <w:noProof/>
            <w:kern w:val="2"/>
            <w14:ligatures w14:val="standardContextual"/>
          </w:rPr>
          <w:tab/>
        </w:r>
        <w:r>
          <w:rPr>
            <w:rStyle w:val="Hyperlink"/>
            <w:noProof/>
          </w:rPr>
          <w:t>Interconnection and Operations</w:t>
        </w:r>
        <w:r>
          <w:rPr>
            <w:noProof/>
          </w:rPr>
          <w:tab/>
        </w:r>
        <w:r>
          <w:rPr>
            <w:noProof/>
          </w:rPr>
          <w:fldChar w:fldCharType="begin"/>
        </w:r>
        <w:r>
          <w:rPr>
            <w:noProof/>
          </w:rPr>
          <w:instrText xml:space="preserve"> PAGEREF _Toc166243847 \h </w:instrText>
        </w:r>
        <w:r>
          <w:rPr>
            <w:noProof/>
          </w:rPr>
        </w:r>
        <w:r>
          <w:rPr>
            <w:noProof/>
          </w:rPr>
          <w:fldChar w:fldCharType="separate"/>
        </w:r>
        <w:r>
          <w:rPr>
            <w:noProof/>
          </w:rPr>
          <w:t>11</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3848" w:history="1">
        <w:r>
          <w:rPr>
            <w:rStyle w:val="Hyperlink"/>
            <w:noProof/>
            <w:specVanish/>
          </w:rPr>
          <w:t>8</w:t>
        </w:r>
        <w:r>
          <w:rPr>
            <w:rFonts w:asciiTheme="minorHAnsi" w:eastAsiaTheme="minorEastAsia" w:hAnsiTheme="minorHAnsi" w:cstheme="minorBidi"/>
            <w:noProof/>
            <w:kern w:val="2"/>
            <w14:ligatures w14:val="standardContextual"/>
          </w:rPr>
          <w:tab/>
        </w:r>
        <w:r>
          <w:rPr>
            <w:rStyle w:val="Hyperlink"/>
            <w:noProof/>
          </w:rPr>
          <w:t>Metering</w:t>
        </w:r>
        <w:r>
          <w:rPr>
            <w:noProof/>
          </w:rPr>
          <w:tab/>
        </w:r>
        <w:r>
          <w:rPr>
            <w:noProof/>
          </w:rPr>
          <w:fldChar w:fldCharType="begin"/>
        </w:r>
        <w:r>
          <w:rPr>
            <w:noProof/>
          </w:rPr>
          <w:instrText xml:space="preserve"> PAGEREF _Toc166243848 \h </w:instrText>
        </w:r>
        <w:r>
          <w:rPr>
            <w:noProof/>
          </w:rPr>
        </w:r>
        <w:r>
          <w:rPr>
            <w:noProof/>
          </w:rPr>
          <w:fldChar w:fldCharType="separate"/>
        </w:r>
        <w:r>
          <w:rPr>
            <w:noProof/>
          </w:rPr>
          <w:t>14</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3849" w:history="1">
        <w:r>
          <w:rPr>
            <w:rStyle w:val="Hyperlink"/>
            <w:noProof/>
            <w:specVanish/>
          </w:rPr>
          <w:t>9</w:t>
        </w:r>
        <w:r>
          <w:rPr>
            <w:rFonts w:asciiTheme="minorHAnsi" w:eastAsiaTheme="minorEastAsia" w:hAnsiTheme="minorHAnsi" w:cstheme="minorBidi"/>
            <w:noProof/>
            <w:kern w:val="2"/>
            <w14:ligatures w14:val="standardContextual"/>
          </w:rPr>
          <w:tab/>
        </w:r>
        <w:r>
          <w:rPr>
            <w:rStyle w:val="Hyperlink"/>
            <w:noProof/>
          </w:rPr>
          <w:t>Obtaining Commercial Operation Authorization</w:t>
        </w:r>
        <w:r>
          <w:rPr>
            <w:noProof/>
          </w:rPr>
          <w:tab/>
        </w:r>
        <w:r>
          <w:rPr>
            <w:noProof/>
          </w:rPr>
          <w:fldChar w:fldCharType="begin"/>
        </w:r>
        <w:r>
          <w:rPr>
            <w:noProof/>
          </w:rPr>
          <w:instrText xml:space="preserve"> PAGEREF _Toc166243849 \h </w:instrText>
        </w:r>
        <w:r>
          <w:rPr>
            <w:noProof/>
          </w:rPr>
        </w:r>
        <w:r>
          <w:rPr>
            <w:noProof/>
          </w:rPr>
          <w:fldChar w:fldCharType="separate"/>
        </w:r>
        <w:r>
          <w:rPr>
            <w:noProof/>
          </w:rPr>
          <w:t>15</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3850" w:history="1">
        <w:r>
          <w:rPr>
            <w:rStyle w:val="Hyperlink"/>
            <w:noProof/>
            <w:specVanish/>
          </w:rPr>
          <w:t>10</w:t>
        </w:r>
        <w:r>
          <w:rPr>
            <w:rFonts w:asciiTheme="minorHAnsi" w:eastAsiaTheme="minorEastAsia" w:hAnsiTheme="minorHAnsi" w:cstheme="minorBidi"/>
            <w:noProof/>
            <w:kern w:val="2"/>
            <w14:ligatures w14:val="standardContextual"/>
          </w:rPr>
          <w:tab/>
        </w:r>
        <w:r>
          <w:rPr>
            <w:rStyle w:val="Hyperlink"/>
            <w:noProof/>
          </w:rPr>
          <w:t>Performance Guarantees</w:t>
        </w:r>
        <w:r>
          <w:rPr>
            <w:noProof/>
          </w:rPr>
          <w:tab/>
        </w:r>
        <w:r>
          <w:rPr>
            <w:noProof/>
          </w:rPr>
          <w:fldChar w:fldCharType="begin"/>
        </w:r>
        <w:r>
          <w:rPr>
            <w:noProof/>
          </w:rPr>
          <w:instrText xml:space="preserve"> PAGEREF _Toc166243850 \h </w:instrText>
        </w:r>
        <w:r>
          <w:rPr>
            <w:noProof/>
          </w:rPr>
        </w:r>
        <w:r>
          <w:rPr>
            <w:noProof/>
          </w:rPr>
          <w:fldChar w:fldCharType="separate"/>
        </w:r>
        <w:r>
          <w:rPr>
            <w:noProof/>
          </w:rPr>
          <w:t>16</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3851" w:history="1">
        <w:r>
          <w:rPr>
            <w:rStyle w:val="Hyperlink"/>
            <w:noProof/>
            <w:specVanish/>
          </w:rPr>
          <w:t>11</w:t>
        </w:r>
        <w:r>
          <w:rPr>
            <w:rFonts w:asciiTheme="minorHAnsi" w:eastAsiaTheme="minorEastAsia" w:hAnsiTheme="minorHAnsi" w:cstheme="minorBidi"/>
            <w:noProof/>
            <w:kern w:val="2"/>
            <w14:ligatures w14:val="standardContextual"/>
          </w:rPr>
          <w:tab/>
        </w:r>
        <w:r>
          <w:rPr>
            <w:rStyle w:val="Hyperlink"/>
            <w:noProof/>
          </w:rPr>
          <w:t>Capacity Factor</w:t>
        </w:r>
        <w:r>
          <w:rPr>
            <w:noProof/>
          </w:rPr>
          <w:tab/>
        </w:r>
        <w:r>
          <w:rPr>
            <w:noProof/>
          </w:rPr>
          <w:fldChar w:fldCharType="begin"/>
        </w:r>
        <w:r>
          <w:rPr>
            <w:noProof/>
          </w:rPr>
          <w:instrText xml:space="preserve"> PAGEREF _Toc166243851 \h </w:instrText>
        </w:r>
        <w:r>
          <w:rPr>
            <w:noProof/>
          </w:rPr>
        </w:r>
        <w:r>
          <w:rPr>
            <w:noProof/>
          </w:rPr>
          <w:fldChar w:fldCharType="separate"/>
        </w:r>
        <w:r>
          <w:rPr>
            <w:noProof/>
          </w:rPr>
          <w:t>16</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3852" w:history="1">
        <w:r>
          <w:rPr>
            <w:rStyle w:val="Hyperlink"/>
            <w:noProof/>
            <w:specVanish/>
          </w:rPr>
          <w:t>12</w:t>
        </w:r>
        <w:r>
          <w:rPr>
            <w:rFonts w:asciiTheme="minorHAnsi" w:eastAsiaTheme="minorEastAsia" w:hAnsiTheme="minorHAnsi" w:cstheme="minorBidi"/>
            <w:noProof/>
            <w:kern w:val="2"/>
            <w14:ligatures w14:val="standardContextual"/>
          </w:rPr>
          <w:tab/>
        </w:r>
        <w:r>
          <w:rPr>
            <w:rStyle w:val="Hyperlink"/>
            <w:noProof/>
          </w:rPr>
          <w:t>Attributes and Incentives</w:t>
        </w:r>
        <w:r>
          <w:rPr>
            <w:noProof/>
          </w:rPr>
          <w:tab/>
        </w:r>
        <w:r>
          <w:rPr>
            <w:noProof/>
          </w:rPr>
          <w:fldChar w:fldCharType="begin"/>
        </w:r>
        <w:r>
          <w:rPr>
            <w:noProof/>
          </w:rPr>
          <w:instrText xml:space="preserve"> PAGEREF _Toc166243852 \h </w:instrText>
        </w:r>
        <w:r>
          <w:rPr>
            <w:noProof/>
          </w:rPr>
        </w:r>
        <w:r>
          <w:rPr>
            <w:noProof/>
          </w:rPr>
          <w:fldChar w:fldCharType="separate"/>
        </w:r>
        <w:r>
          <w:rPr>
            <w:noProof/>
          </w:rPr>
          <w:t>17</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3853" w:history="1">
        <w:r>
          <w:rPr>
            <w:rStyle w:val="Hyperlink"/>
            <w:noProof/>
            <w:specVanish/>
          </w:rPr>
          <w:t>13</w:t>
        </w:r>
        <w:r>
          <w:rPr>
            <w:rFonts w:asciiTheme="minorHAnsi" w:eastAsiaTheme="minorEastAsia" w:hAnsiTheme="minorHAnsi" w:cstheme="minorBidi"/>
            <w:noProof/>
            <w:kern w:val="2"/>
            <w14:ligatures w14:val="standardContextual"/>
          </w:rPr>
          <w:tab/>
        </w:r>
        <w:r>
          <w:rPr>
            <w:rStyle w:val="Hyperlink"/>
            <w:noProof/>
          </w:rPr>
          <w:t>Billing; Payment</w:t>
        </w:r>
        <w:r>
          <w:rPr>
            <w:noProof/>
          </w:rPr>
          <w:tab/>
        </w:r>
        <w:r>
          <w:rPr>
            <w:noProof/>
          </w:rPr>
          <w:fldChar w:fldCharType="begin"/>
        </w:r>
        <w:r>
          <w:rPr>
            <w:noProof/>
          </w:rPr>
          <w:instrText xml:space="preserve"> PAGEREF _Toc166243853 \h </w:instrText>
        </w:r>
        <w:r>
          <w:rPr>
            <w:noProof/>
          </w:rPr>
        </w:r>
        <w:r>
          <w:rPr>
            <w:noProof/>
          </w:rPr>
          <w:fldChar w:fldCharType="separate"/>
        </w:r>
        <w:r>
          <w:rPr>
            <w:noProof/>
          </w:rPr>
          <w:t>19</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3854" w:history="1">
        <w:r>
          <w:rPr>
            <w:rStyle w:val="Hyperlink"/>
            <w:noProof/>
            <w:specVanish/>
          </w:rPr>
          <w:t>14</w:t>
        </w:r>
        <w:r>
          <w:rPr>
            <w:rFonts w:asciiTheme="minorHAnsi" w:eastAsiaTheme="minorEastAsia" w:hAnsiTheme="minorHAnsi" w:cstheme="minorBidi"/>
            <w:noProof/>
            <w:kern w:val="2"/>
            <w14:ligatures w14:val="standardContextual"/>
          </w:rPr>
          <w:tab/>
        </w:r>
        <w:r>
          <w:rPr>
            <w:rStyle w:val="Hyperlink"/>
            <w:noProof/>
          </w:rPr>
          <w:t>Force Majeure</w:t>
        </w:r>
        <w:r>
          <w:rPr>
            <w:noProof/>
          </w:rPr>
          <w:tab/>
        </w:r>
        <w:r>
          <w:rPr>
            <w:noProof/>
          </w:rPr>
          <w:fldChar w:fldCharType="begin"/>
        </w:r>
        <w:r>
          <w:rPr>
            <w:noProof/>
          </w:rPr>
          <w:instrText xml:space="preserve"> PAGEREF _Toc166243854 \h </w:instrText>
        </w:r>
        <w:r>
          <w:rPr>
            <w:noProof/>
          </w:rPr>
        </w:r>
        <w:r>
          <w:rPr>
            <w:noProof/>
          </w:rPr>
          <w:fldChar w:fldCharType="separate"/>
        </w:r>
        <w:r>
          <w:rPr>
            <w:noProof/>
          </w:rPr>
          <w:t>20</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3855" w:history="1">
        <w:r>
          <w:rPr>
            <w:rStyle w:val="Hyperlink"/>
            <w:noProof/>
            <w:specVanish/>
          </w:rPr>
          <w:t>15</w:t>
        </w:r>
        <w:r>
          <w:rPr>
            <w:rFonts w:asciiTheme="minorHAnsi" w:eastAsiaTheme="minorEastAsia" w:hAnsiTheme="minorHAnsi" w:cstheme="minorBidi"/>
            <w:noProof/>
            <w:kern w:val="2"/>
            <w14:ligatures w14:val="standardContextual"/>
          </w:rPr>
          <w:tab/>
        </w:r>
        <w:r>
          <w:rPr>
            <w:rStyle w:val="Hyperlink"/>
            <w:noProof/>
          </w:rPr>
          <w:t>Amendment; PPA Assignment; Seller Name Change</w:t>
        </w:r>
        <w:r>
          <w:rPr>
            <w:noProof/>
          </w:rPr>
          <w:tab/>
        </w:r>
        <w:r>
          <w:rPr>
            <w:noProof/>
          </w:rPr>
          <w:fldChar w:fldCharType="begin"/>
        </w:r>
        <w:r>
          <w:rPr>
            <w:noProof/>
          </w:rPr>
          <w:instrText xml:space="preserve"> PAGEREF _Toc166243855 \h </w:instrText>
        </w:r>
        <w:r>
          <w:rPr>
            <w:noProof/>
          </w:rPr>
        </w:r>
        <w:r>
          <w:rPr>
            <w:noProof/>
          </w:rPr>
          <w:fldChar w:fldCharType="separate"/>
        </w:r>
        <w:r>
          <w:rPr>
            <w:noProof/>
          </w:rPr>
          <w:t>21</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3856" w:history="1">
        <w:r>
          <w:rPr>
            <w:rStyle w:val="Hyperlink"/>
            <w:noProof/>
            <w:specVanish/>
          </w:rPr>
          <w:t>16</w:t>
        </w:r>
        <w:r>
          <w:rPr>
            <w:rFonts w:asciiTheme="minorHAnsi" w:eastAsiaTheme="minorEastAsia" w:hAnsiTheme="minorHAnsi" w:cstheme="minorBidi"/>
            <w:noProof/>
            <w:kern w:val="2"/>
            <w14:ligatures w14:val="standardContextual"/>
          </w:rPr>
          <w:tab/>
        </w:r>
        <w:r>
          <w:rPr>
            <w:rStyle w:val="Hyperlink"/>
            <w:noProof/>
          </w:rPr>
          <w:t>Representations, Warranties and Covenants</w:t>
        </w:r>
        <w:r>
          <w:rPr>
            <w:noProof/>
          </w:rPr>
          <w:tab/>
        </w:r>
        <w:r>
          <w:rPr>
            <w:noProof/>
          </w:rPr>
          <w:fldChar w:fldCharType="begin"/>
        </w:r>
        <w:r>
          <w:rPr>
            <w:noProof/>
          </w:rPr>
          <w:instrText xml:space="preserve"> PAGEREF _Toc166243856 \h </w:instrText>
        </w:r>
        <w:r>
          <w:rPr>
            <w:noProof/>
          </w:rPr>
        </w:r>
        <w:r>
          <w:rPr>
            <w:noProof/>
          </w:rPr>
          <w:fldChar w:fldCharType="separate"/>
        </w:r>
        <w:r>
          <w:rPr>
            <w:noProof/>
          </w:rPr>
          <w:t>22</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3857" w:history="1">
        <w:r>
          <w:rPr>
            <w:rStyle w:val="Hyperlink"/>
            <w:noProof/>
            <w:specVanish/>
          </w:rPr>
          <w:t>17</w:t>
        </w:r>
        <w:r>
          <w:rPr>
            <w:rFonts w:asciiTheme="minorHAnsi" w:eastAsiaTheme="minorEastAsia" w:hAnsiTheme="minorHAnsi" w:cstheme="minorBidi"/>
            <w:noProof/>
            <w:kern w:val="2"/>
            <w14:ligatures w14:val="standardContextual"/>
          </w:rPr>
          <w:tab/>
        </w:r>
        <w:r>
          <w:rPr>
            <w:rStyle w:val="Hyperlink"/>
            <w:noProof/>
          </w:rPr>
          <w:t>Default; Remedies</w:t>
        </w:r>
        <w:r>
          <w:rPr>
            <w:noProof/>
          </w:rPr>
          <w:tab/>
        </w:r>
        <w:r>
          <w:rPr>
            <w:noProof/>
          </w:rPr>
          <w:fldChar w:fldCharType="begin"/>
        </w:r>
        <w:r>
          <w:rPr>
            <w:noProof/>
          </w:rPr>
          <w:instrText xml:space="preserve"> PAGEREF _Toc166243857 \h </w:instrText>
        </w:r>
        <w:r>
          <w:rPr>
            <w:noProof/>
          </w:rPr>
        </w:r>
        <w:r>
          <w:rPr>
            <w:noProof/>
          </w:rPr>
          <w:fldChar w:fldCharType="separate"/>
        </w:r>
        <w:r>
          <w:rPr>
            <w:noProof/>
          </w:rPr>
          <w:t>24</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3858" w:history="1">
        <w:r>
          <w:rPr>
            <w:rStyle w:val="Hyperlink"/>
            <w:noProof/>
            <w:specVanish/>
          </w:rPr>
          <w:t>18</w:t>
        </w:r>
        <w:r>
          <w:rPr>
            <w:rFonts w:asciiTheme="minorHAnsi" w:eastAsiaTheme="minorEastAsia" w:hAnsiTheme="minorHAnsi" w:cstheme="minorBidi"/>
            <w:noProof/>
            <w:kern w:val="2"/>
            <w14:ligatures w14:val="standardContextual"/>
          </w:rPr>
          <w:tab/>
        </w:r>
        <w:r>
          <w:rPr>
            <w:rStyle w:val="Hyperlink"/>
            <w:bCs/>
            <w:noProof/>
          </w:rPr>
          <w:t>Seller’s Assistance</w:t>
        </w:r>
        <w:r>
          <w:rPr>
            <w:noProof/>
          </w:rPr>
          <w:tab/>
        </w:r>
        <w:r>
          <w:rPr>
            <w:noProof/>
          </w:rPr>
          <w:fldChar w:fldCharType="begin"/>
        </w:r>
        <w:r>
          <w:rPr>
            <w:noProof/>
          </w:rPr>
          <w:instrText xml:space="preserve"> PAGEREF _Toc166243858 \h </w:instrText>
        </w:r>
        <w:r>
          <w:rPr>
            <w:noProof/>
          </w:rPr>
        </w:r>
        <w:r>
          <w:rPr>
            <w:noProof/>
          </w:rPr>
          <w:fldChar w:fldCharType="separate"/>
        </w:r>
        <w:r>
          <w:rPr>
            <w:noProof/>
          </w:rPr>
          <w:t>27</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3859" w:history="1">
        <w:r>
          <w:rPr>
            <w:rStyle w:val="Hyperlink"/>
            <w:noProof/>
            <w:specVanish/>
          </w:rPr>
          <w:t>19</w:t>
        </w:r>
        <w:r>
          <w:rPr>
            <w:rFonts w:asciiTheme="minorHAnsi" w:eastAsiaTheme="minorEastAsia" w:hAnsiTheme="minorHAnsi" w:cstheme="minorBidi"/>
            <w:noProof/>
            <w:kern w:val="2"/>
            <w14:ligatures w14:val="standardContextual"/>
          </w:rPr>
          <w:tab/>
        </w:r>
        <w:r>
          <w:rPr>
            <w:rStyle w:val="Hyperlink"/>
            <w:bCs/>
            <w:noProof/>
          </w:rPr>
          <w:t>Insurance</w:t>
        </w:r>
        <w:r>
          <w:rPr>
            <w:noProof/>
          </w:rPr>
          <w:tab/>
        </w:r>
        <w:r>
          <w:rPr>
            <w:noProof/>
          </w:rPr>
          <w:fldChar w:fldCharType="begin"/>
        </w:r>
        <w:r>
          <w:rPr>
            <w:noProof/>
          </w:rPr>
          <w:instrText xml:space="preserve"> PAGEREF _Toc166243859 \h </w:instrText>
        </w:r>
        <w:r>
          <w:rPr>
            <w:noProof/>
          </w:rPr>
        </w:r>
        <w:r>
          <w:rPr>
            <w:noProof/>
          </w:rPr>
          <w:fldChar w:fldCharType="separate"/>
        </w:r>
        <w:r>
          <w:rPr>
            <w:noProof/>
          </w:rPr>
          <w:t>27</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3860" w:history="1">
        <w:r>
          <w:rPr>
            <w:rStyle w:val="Hyperlink"/>
            <w:noProof/>
            <w:specVanish/>
          </w:rPr>
          <w:t>20</w:t>
        </w:r>
        <w:r>
          <w:rPr>
            <w:rFonts w:asciiTheme="minorHAnsi" w:eastAsiaTheme="minorEastAsia" w:hAnsiTheme="minorHAnsi" w:cstheme="minorBidi"/>
            <w:noProof/>
            <w:kern w:val="2"/>
            <w14:ligatures w14:val="standardContextual"/>
          </w:rPr>
          <w:tab/>
        </w:r>
        <w:r>
          <w:rPr>
            <w:rStyle w:val="Hyperlink"/>
            <w:bCs/>
            <w:noProof/>
          </w:rPr>
          <w:t>Labor</w:t>
        </w:r>
        <w:r>
          <w:rPr>
            <w:noProof/>
          </w:rPr>
          <w:tab/>
        </w:r>
        <w:r>
          <w:rPr>
            <w:noProof/>
          </w:rPr>
          <w:fldChar w:fldCharType="begin"/>
        </w:r>
        <w:r>
          <w:rPr>
            <w:noProof/>
          </w:rPr>
          <w:instrText xml:space="preserve"> PAGEREF _Toc166243860 \h </w:instrText>
        </w:r>
        <w:r>
          <w:rPr>
            <w:noProof/>
          </w:rPr>
        </w:r>
        <w:r>
          <w:rPr>
            <w:noProof/>
          </w:rPr>
          <w:fldChar w:fldCharType="separate"/>
        </w:r>
        <w:r>
          <w:rPr>
            <w:noProof/>
          </w:rPr>
          <w:t>29</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3861" w:history="1">
        <w:r>
          <w:rPr>
            <w:rStyle w:val="Hyperlink"/>
            <w:bCs/>
            <w:noProof/>
            <w:specVanish/>
          </w:rPr>
          <w:t>21</w:t>
        </w:r>
        <w:r>
          <w:rPr>
            <w:rFonts w:asciiTheme="minorHAnsi" w:eastAsiaTheme="minorEastAsia" w:hAnsiTheme="minorHAnsi" w:cstheme="minorBidi"/>
            <w:noProof/>
            <w:kern w:val="2"/>
            <w14:ligatures w14:val="standardContextual"/>
          </w:rPr>
          <w:tab/>
        </w:r>
        <w:r>
          <w:rPr>
            <w:rStyle w:val="Hyperlink"/>
            <w:bCs/>
            <w:noProof/>
          </w:rPr>
          <w:t>Equity Reporting Requirements</w:t>
        </w:r>
        <w:r>
          <w:rPr>
            <w:noProof/>
          </w:rPr>
          <w:tab/>
        </w:r>
        <w:r>
          <w:rPr>
            <w:noProof/>
          </w:rPr>
          <w:fldChar w:fldCharType="begin"/>
        </w:r>
        <w:r>
          <w:rPr>
            <w:noProof/>
          </w:rPr>
          <w:instrText xml:space="preserve"> PAGEREF _Toc166243861 \h </w:instrText>
        </w:r>
        <w:r>
          <w:rPr>
            <w:noProof/>
          </w:rPr>
        </w:r>
        <w:r>
          <w:rPr>
            <w:noProof/>
          </w:rPr>
          <w:fldChar w:fldCharType="separate"/>
        </w:r>
        <w:r>
          <w:rPr>
            <w:noProof/>
          </w:rPr>
          <w:t>29</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3862" w:history="1">
        <w:r>
          <w:rPr>
            <w:rStyle w:val="Hyperlink"/>
            <w:noProof/>
            <w:specVanish/>
          </w:rPr>
          <w:t>22</w:t>
        </w:r>
        <w:r>
          <w:rPr>
            <w:rFonts w:asciiTheme="minorHAnsi" w:eastAsiaTheme="minorEastAsia" w:hAnsiTheme="minorHAnsi" w:cstheme="minorBidi"/>
            <w:noProof/>
            <w:kern w:val="2"/>
            <w14:ligatures w14:val="standardContextual"/>
          </w:rPr>
          <w:tab/>
        </w:r>
        <w:r>
          <w:rPr>
            <w:rStyle w:val="Hyperlink"/>
            <w:bCs/>
            <w:noProof/>
          </w:rPr>
          <w:t>Records and Inspection</w:t>
        </w:r>
        <w:r>
          <w:rPr>
            <w:noProof/>
          </w:rPr>
          <w:tab/>
        </w:r>
        <w:r>
          <w:rPr>
            <w:noProof/>
          </w:rPr>
          <w:fldChar w:fldCharType="begin"/>
        </w:r>
        <w:r>
          <w:rPr>
            <w:noProof/>
          </w:rPr>
          <w:instrText xml:space="preserve"> PAGEREF _Toc166243862 \h </w:instrText>
        </w:r>
        <w:r>
          <w:rPr>
            <w:noProof/>
          </w:rPr>
        </w:r>
        <w:r>
          <w:rPr>
            <w:noProof/>
          </w:rPr>
          <w:fldChar w:fldCharType="separate"/>
        </w:r>
        <w:r>
          <w:rPr>
            <w:noProof/>
          </w:rPr>
          <w:t>31</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3863" w:history="1">
        <w:r>
          <w:rPr>
            <w:rStyle w:val="Hyperlink"/>
            <w:noProof/>
            <w:specVanish/>
          </w:rPr>
          <w:t>23</w:t>
        </w:r>
        <w:r>
          <w:rPr>
            <w:rFonts w:asciiTheme="minorHAnsi" w:eastAsiaTheme="minorEastAsia" w:hAnsiTheme="minorHAnsi" w:cstheme="minorBidi"/>
            <w:noProof/>
            <w:kern w:val="2"/>
            <w14:ligatures w14:val="standardContextual"/>
          </w:rPr>
          <w:tab/>
        </w:r>
        <w:r>
          <w:rPr>
            <w:rStyle w:val="Hyperlink"/>
            <w:noProof/>
          </w:rPr>
          <w:t>Miscellaneous</w:t>
        </w:r>
        <w:r>
          <w:rPr>
            <w:noProof/>
          </w:rPr>
          <w:tab/>
        </w:r>
        <w:r>
          <w:rPr>
            <w:noProof/>
          </w:rPr>
          <w:fldChar w:fldCharType="begin"/>
        </w:r>
        <w:r>
          <w:rPr>
            <w:noProof/>
          </w:rPr>
          <w:instrText xml:space="preserve"> PAGEREF _Toc166243863 \h </w:instrText>
        </w:r>
        <w:r>
          <w:rPr>
            <w:noProof/>
          </w:rPr>
        </w:r>
        <w:r>
          <w:rPr>
            <w:noProof/>
          </w:rPr>
          <w:fldChar w:fldCharType="separate"/>
        </w:r>
        <w:r>
          <w:rPr>
            <w:noProof/>
          </w:rPr>
          <w:t>31</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3864" w:history="1">
        <w:r>
          <w:rPr>
            <w:rStyle w:val="Hyperlink"/>
            <w:caps/>
            <w:noProof/>
          </w:rPr>
          <w:t>Appendix A</w:t>
        </w:r>
        <w:r>
          <w:rPr>
            <w:rStyle w:val="Hyperlink"/>
            <w:noProof/>
          </w:rPr>
          <w:t xml:space="preserve"> FACILITY DESCRIPTION</w:t>
        </w:r>
        <w:r>
          <w:rPr>
            <w:noProof/>
          </w:rPr>
          <w:tab/>
        </w:r>
        <w:r>
          <w:rPr>
            <w:noProof/>
          </w:rPr>
          <w:fldChar w:fldCharType="begin"/>
        </w:r>
        <w:r>
          <w:rPr>
            <w:noProof/>
          </w:rPr>
          <w:instrText xml:space="preserve"> PAGEREF _Toc166243864 \h </w:instrText>
        </w:r>
        <w:r>
          <w:rPr>
            <w:noProof/>
          </w:rPr>
        </w:r>
        <w:r>
          <w:rPr>
            <w:noProof/>
          </w:rPr>
          <w:fldChar w:fldCharType="separate"/>
        </w:r>
        <w:r>
          <w:rPr>
            <w:noProof/>
          </w:rPr>
          <w:t>1</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3865" w:history="1">
        <w:r>
          <w:rPr>
            <w:rStyle w:val="Hyperlink"/>
            <w:caps/>
            <w:noProof/>
          </w:rPr>
          <w:t>Appendix B</w:t>
        </w:r>
        <w:r>
          <w:rPr>
            <w:rStyle w:val="Hyperlink"/>
            <w:noProof/>
          </w:rPr>
          <w:t xml:space="preserve"> PRICE SCHEDULE</w:t>
        </w:r>
        <w:r>
          <w:rPr>
            <w:noProof/>
          </w:rPr>
          <w:tab/>
        </w:r>
        <w:r>
          <w:rPr>
            <w:noProof/>
          </w:rPr>
          <w:fldChar w:fldCharType="begin"/>
        </w:r>
        <w:r>
          <w:rPr>
            <w:noProof/>
          </w:rPr>
          <w:instrText xml:space="preserve"> PAGEREF _Toc166243865 \h </w:instrText>
        </w:r>
        <w:r>
          <w:rPr>
            <w:noProof/>
          </w:rPr>
        </w:r>
        <w:r>
          <w:rPr>
            <w:noProof/>
          </w:rPr>
          <w:fldChar w:fldCharType="separate"/>
        </w:r>
        <w:r>
          <w:rPr>
            <w:noProof/>
          </w:rPr>
          <w:t>1</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3866" w:history="1">
        <w:r>
          <w:rPr>
            <w:rStyle w:val="Hyperlink"/>
            <w:caps/>
            <w:noProof/>
          </w:rPr>
          <w:t>Appendix C</w:t>
        </w:r>
        <w:r>
          <w:rPr>
            <w:rStyle w:val="Hyperlink"/>
            <w:noProof/>
          </w:rPr>
          <w:t xml:space="preserve"> COMMERCIAL OPERATION CERTIFICATE</w:t>
        </w:r>
        <w:r>
          <w:rPr>
            <w:noProof/>
          </w:rPr>
          <w:tab/>
        </w:r>
        <w:r>
          <w:rPr>
            <w:noProof/>
          </w:rPr>
          <w:fldChar w:fldCharType="begin"/>
        </w:r>
        <w:r>
          <w:rPr>
            <w:noProof/>
          </w:rPr>
          <w:instrText xml:space="preserve"> PAGEREF _Toc166243866 \h </w:instrText>
        </w:r>
        <w:r>
          <w:rPr>
            <w:noProof/>
          </w:rPr>
        </w:r>
        <w:r>
          <w:rPr>
            <w:noProof/>
          </w:rPr>
          <w:fldChar w:fldCharType="separate"/>
        </w:r>
        <w:r>
          <w:rPr>
            <w:noProof/>
          </w:rPr>
          <w:t>1</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3867" w:history="1">
        <w:r>
          <w:rPr>
            <w:rStyle w:val="Hyperlink"/>
            <w:caps/>
            <w:noProof/>
          </w:rPr>
          <w:t>Appendix D</w:t>
        </w:r>
        <w:r>
          <w:rPr>
            <w:rStyle w:val="Hyperlink"/>
            <w:noProof/>
          </w:rPr>
          <w:t xml:space="preserve"> ATTRIBUTES ATTESTATION FORM</w:t>
        </w:r>
        <w:r>
          <w:rPr>
            <w:noProof/>
          </w:rPr>
          <w:tab/>
        </w:r>
        <w:r>
          <w:rPr>
            <w:noProof/>
          </w:rPr>
          <w:fldChar w:fldCharType="begin"/>
        </w:r>
        <w:r>
          <w:rPr>
            <w:noProof/>
          </w:rPr>
          <w:instrText xml:space="preserve"> PAGEREF _Toc166243867 \h </w:instrText>
        </w:r>
        <w:r>
          <w:rPr>
            <w:noProof/>
          </w:rPr>
        </w:r>
        <w:r>
          <w:rPr>
            <w:noProof/>
          </w:rPr>
          <w:fldChar w:fldCharType="separate"/>
        </w:r>
        <w:r>
          <w:rPr>
            <w:noProof/>
          </w:rPr>
          <w:t>1</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3868" w:history="1">
        <w:r>
          <w:rPr>
            <w:rStyle w:val="Hyperlink"/>
            <w:caps/>
            <w:noProof/>
          </w:rPr>
          <w:t>Appendix E</w:t>
        </w:r>
        <w:r>
          <w:rPr>
            <w:rStyle w:val="Hyperlink"/>
            <w:noProof/>
          </w:rPr>
          <w:t xml:space="preserve"> PERFORMANCE SECURITY</w:t>
        </w:r>
        <w:r>
          <w:rPr>
            <w:noProof/>
          </w:rPr>
          <w:tab/>
        </w:r>
        <w:r>
          <w:rPr>
            <w:noProof/>
          </w:rPr>
          <w:fldChar w:fldCharType="begin"/>
        </w:r>
        <w:r>
          <w:rPr>
            <w:noProof/>
          </w:rPr>
          <w:instrText xml:space="preserve"> PAGEREF _Toc166243868 \h </w:instrText>
        </w:r>
        <w:r>
          <w:rPr>
            <w:noProof/>
          </w:rPr>
        </w:r>
        <w:r>
          <w:rPr>
            <w:noProof/>
          </w:rPr>
          <w:fldChar w:fldCharType="separate"/>
        </w:r>
        <w:r>
          <w:rPr>
            <w:noProof/>
          </w:rPr>
          <w:t>1</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3869" w:history="1">
        <w:r>
          <w:rPr>
            <w:rStyle w:val="Hyperlink"/>
            <w:caps/>
            <w:noProof/>
          </w:rPr>
          <w:t>Appendix F</w:t>
        </w:r>
        <w:r>
          <w:rPr>
            <w:rStyle w:val="Hyperlink"/>
            <w:noProof/>
          </w:rPr>
          <w:t xml:space="preserve"> FORM OF SELLER’S GUARANTY</w:t>
        </w:r>
        <w:r>
          <w:rPr>
            <w:noProof/>
          </w:rPr>
          <w:tab/>
        </w:r>
        <w:r>
          <w:rPr>
            <w:noProof/>
          </w:rPr>
          <w:fldChar w:fldCharType="begin"/>
        </w:r>
        <w:r>
          <w:rPr>
            <w:noProof/>
          </w:rPr>
          <w:instrText xml:space="preserve"> PAGEREF _Toc166243869 \h </w:instrText>
        </w:r>
        <w:r>
          <w:rPr>
            <w:noProof/>
          </w:rPr>
        </w:r>
        <w:r>
          <w:rPr>
            <w:noProof/>
          </w:rPr>
          <w:fldChar w:fldCharType="separate"/>
        </w:r>
        <w:r>
          <w:rPr>
            <w:noProof/>
          </w:rPr>
          <w:t>1</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3870" w:history="1">
        <w:r>
          <w:rPr>
            <w:rStyle w:val="Hyperlink"/>
            <w:caps/>
            <w:noProof/>
          </w:rPr>
          <w:t>Appendix G</w:t>
        </w:r>
        <w:r>
          <w:rPr>
            <w:rStyle w:val="Hyperlink"/>
            <w:noProof/>
          </w:rPr>
          <w:t xml:space="preserve"> FORM OF LETTER OF CREDIT</w:t>
        </w:r>
        <w:r>
          <w:rPr>
            <w:noProof/>
          </w:rPr>
          <w:tab/>
        </w:r>
        <w:r>
          <w:rPr>
            <w:noProof/>
          </w:rPr>
          <w:fldChar w:fldCharType="begin"/>
        </w:r>
        <w:r>
          <w:rPr>
            <w:noProof/>
          </w:rPr>
          <w:instrText xml:space="preserve"> PAGEREF _Toc166243870 \h </w:instrText>
        </w:r>
        <w:r>
          <w:rPr>
            <w:noProof/>
          </w:rPr>
        </w:r>
        <w:r>
          <w:rPr>
            <w:noProof/>
          </w:rPr>
          <w:fldChar w:fldCharType="separate"/>
        </w:r>
        <w:r>
          <w:rPr>
            <w:noProof/>
          </w:rPr>
          <w:t>1</w:t>
        </w:r>
        <w:r>
          <w:rPr>
            <w:noProof/>
          </w:rPr>
          <w:fldChar w:fldCharType="end"/>
        </w:r>
      </w:hyperlink>
    </w:p>
    <w:p>
      <w:pPr>
        <w:pStyle w:val="TOC1"/>
        <w:rPr>
          <w:rFonts w:asciiTheme="minorHAnsi" w:eastAsiaTheme="minorEastAsia" w:hAnsiTheme="minorHAnsi" w:cstheme="minorBidi"/>
          <w:noProof/>
          <w:kern w:val="2"/>
          <w14:ligatures w14:val="standardContextual"/>
        </w:rPr>
      </w:pPr>
      <w:hyperlink w:anchor="_Toc166243871" w:history="1">
        <w:r>
          <w:rPr>
            <w:rStyle w:val="Hyperlink"/>
            <w:caps/>
            <w:noProof/>
          </w:rPr>
          <w:t>Appendix H</w:t>
        </w:r>
        <w:r>
          <w:rPr>
            <w:rStyle w:val="Hyperlink"/>
            <w:noProof/>
          </w:rPr>
          <w:t xml:space="preserve"> PERFORMANCE GUARANTEE</w:t>
        </w:r>
        <w:r>
          <w:rPr>
            <w:noProof/>
          </w:rPr>
          <w:tab/>
        </w:r>
        <w:r>
          <w:rPr>
            <w:noProof/>
          </w:rPr>
          <w:fldChar w:fldCharType="begin"/>
        </w:r>
        <w:r>
          <w:rPr>
            <w:noProof/>
          </w:rPr>
          <w:instrText xml:space="preserve"> PAGEREF _Toc166243871 \h </w:instrText>
        </w:r>
        <w:r>
          <w:rPr>
            <w:noProof/>
          </w:rPr>
        </w:r>
        <w:r>
          <w:rPr>
            <w:noProof/>
          </w:rPr>
          <w:fldChar w:fldCharType="separate"/>
        </w:r>
        <w:r>
          <w:rPr>
            <w:noProof/>
          </w:rPr>
          <w:t>1</w:t>
        </w:r>
        <w:r>
          <w:rPr>
            <w:noProof/>
          </w:rPr>
          <w:fldChar w:fldCharType="end"/>
        </w:r>
      </w:hyperlink>
    </w:p>
    <w:p>
      <w:pPr>
        <w:ind w:firstLine="0"/>
        <w:rPr>
          <w:noProof/>
        </w:rPr>
      </w:pPr>
      <w:r>
        <w:fldChar w:fldCharType="end"/>
      </w:r>
      <w:r>
        <w:rPr>
          <w:noProof/>
        </w:rPr>
        <w:t>APPENDIX I FORM OF CETA EQUITY REPORT………………………………………………………1</w:t>
      </w:r>
    </w:p>
    <w:p>
      <w:pPr>
        <w:ind w:firstLine="0"/>
        <w:rPr>
          <w:b/>
        </w:rPr>
        <w:sectPr>
          <w:headerReference w:type="default" r:id="rId12"/>
          <w:footerReference w:type="even" r:id="rId13"/>
          <w:headerReference w:type="first" r:id="rId14"/>
          <w:pgSz w:w="12240" w:h="15840"/>
          <w:pgMar w:top="1440" w:right="1440" w:bottom="1440" w:left="1440" w:header="720" w:footer="720" w:gutter="0"/>
          <w:cols w:space="720"/>
          <w:titlePg/>
          <w:docGrid w:linePitch="360"/>
        </w:sectPr>
      </w:pPr>
    </w:p>
    <w:p>
      <w:pPr>
        <w:spacing w:after="160"/>
        <w:ind w:firstLine="0"/>
        <w:jc w:val="center"/>
        <w:rPr>
          <w:b/>
        </w:rPr>
      </w:pPr>
      <w:r>
        <w:rPr>
          <w:b/>
        </w:rPr>
        <w:lastRenderedPageBreak/>
        <w:t>DISTRIBUTED ENERGY RESOURCE POWER PURCHASE AGREEMENT</w:t>
      </w:r>
    </w:p>
    <w:p>
      <w:pPr>
        <w:ind w:firstLine="450"/>
      </w:pPr>
      <w:r>
        <w:t>This Distributed Energy Resource Power Purchase Agreement (this “</w:t>
      </w:r>
      <w:r>
        <w:rPr>
          <w:u w:val="single"/>
        </w:rPr>
        <w:t>PPA</w:t>
      </w:r>
      <w:r>
        <w:t>”) is entered into as of the Execution Date by and between Puget Sound Energy, Inc., a Washington corporation (“</w:t>
      </w:r>
      <w:r>
        <w:rPr>
          <w:u w:val="single"/>
        </w:rPr>
        <w:t>PSE</w:t>
      </w:r>
      <w:r>
        <w:t>”) and [__], a [__] (“</w:t>
      </w:r>
      <w:r>
        <w:rPr>
          <w:u w:val="single"/>
        </w:rPr>
        <w:t>Seller</w:t>
      </w:r>
      <w:r>
        <w:t>”).  PSE and Seller may be hereinafter referred to individually as a “</w:t>
      </w:r>
      <w:r>
        <w:rPr>
          <w:u w:val="single"/>
        </w:rPr>
        <w:t>Party</w:t>
      </w:r>
      <w:r>
        <w:t>” and collectively as the “</w:t>
      </w:r>
      <w:r>
        <w:rPr>
          <w:u w:val="single"/>
        </w:rPr>
        <w:t>Parties</w:t>
      </w:r>
      <w:r>
        <w:t>.”</w:t>
      </w:r>
    </w:p>
    <w:p>
      <w:pPr>
        <w:ind w:firstLine="0"/>
        <w:jc w:val="center"/>
        <w:rPr>
          <w:b/>
        </w:rPr>
      </w:pPr>
      <w:r>
        <w:rPr>
          <w:b/>
        </w:rPr>
        <w:t>RECITALS</w:t>
      </w:r>
    </w:p>
    <w:p>
      <w:pPr>
        <w:pStyle w:val="UpperLetteroutlinedc1"/>
      </w:pPr>
      <w:r>
        <w:t>Seller desires to sell, and PSE desires to purchase, all of the Solar Output and all other Attributes generated by or associated with Seller’s Facility.</w:t>
      </w:r>
    </w:p>
    <w:p>
      <w:pPr>
        <w:pStyle w:val="UpperLetteroutlinedc1"/>
      </w:pPr>
      <w:r>
        <w:t>The Parties desire to set forth the terms and conditions upon which the sale of Solar Output and other Attributes may be conducted between the Parties.</w:t>
      </w:r>
    </w:p>
    <w:p>
      <w:pPr>
        <w:ind w:firstLine="576"/>
      </w:pPr>
      <w:r>
        <w:t>NOW, THEREFORE, in consideration of the promises and of the mutual covenants herein set forth, and other good and valuable consideration, the receipt, sufficiency, and adequacy of which are hereby acknowledged, PSE and Seller, each intending to be legally bound, hereby agree as follows:</w:t>
      </w:r>
    </w:p>
    <w:p>
      <w:pPr>
        <w:pStyle w:val="N1"/>
        <w:rPr>
          <w:vanish/>
          <w:color w:val="FF0000"/>
          <w:specVanish/>
        </w:rPr>
      </w:pPr>
      <w:bookmarkStart w:id="14" w:name="_Toc145698385"/>
      <w:bookmarkStart w:id="15" w:name="_Toc145698444"/>
      <w:bookmarkStart w:id="16" w:name="_Ref145702292"/>
      <w:bookmarkStart w:id="17" w:name="_Ref145702307"/>
      <w:bookmarkStart w:id="18" w:name="_Ref145702333"/>
      <w:bookmarkStart w:id="19" w:name="_Ref145702360"/>
      <w:bookmarkStart w:id="20" w:name="_Ref145702877"/>
      <w:bookmarkStart w:id="21" w:name="_Ref145702936"/>
      <w:bookmarkStart w:id="22" w:name="_Toc166243841"/>
      <w:bookmarkStart w:id="23" w:name="_Ref140339428"/>
      <w:r>
        <w:t>Definitions</w:t>
      </w:r>
      <w:bookmarkEnd w:id="14"/>
      <w:bookmarkEnd w:id="15"/>
      <w:bookmarkEnd w:id="16"/>
      <w:bookmarkEnd w:id="17"/>
      <w:bookmarkEnd w:id="18"/>
      <w:bookmarkEnd w:id="19"/>
      <w:bookmarkEnd w:id="20"/>
      <w:bookmarkEnd w:id="21"/>
      <w:bookmarkEnd w:id="22"/>
    </w:p>
    <w:p>
      <w:r>
        <w:t xml:space="preserve">.  Capitalized terms have the meanings assigned in </w:t>
      </w:r>
      <w:r>
        <w:rPr>
          <w:u w:val="single"/>
        </w:rPr>
        <w:t>Section </w:t>
      </w:r>
      <w:r>
        <w:rPr>
          <w:u w:val="single"/>
        </w:rPr>
        <w:fldChar w:fldCharType="begin"/>
      </w:r>
      <w:r>
        <w:rPr>
          <w:u w:val="single"/>
        </w:rPr>
        <w:instrText xml:space="preserve"> REF _Ref140339428 \w \h  \* MERGEFORMAT </w:instrText>
      </w:r>
      <w:r>
        <w:rPr>
          <w:u w:val="single"/>
        </w:rPr>
      </w:r>
      <w:r>
        <w:rPr>
          <w:u w:val="single"/>
        </w:rPr>
        <w:fldChar w:fldCharType="separate"/>
      </w:r>
      <w:r>
        <w:rPr>
          <w:u w:val="single"/>
        </w:rPr>
        <w:t>1</w:t>
      </w:r>
      <w:r>
        <w:rPr>
          <w:u w:val="single"/>
        </w:rPr>
        <w:fldChar w:fldCharType="end"/>
      </w:r>
      <w:r>
        <w:t xml:space="preserve"> unless otherwise defined herein</w:t>
      </w:r>
      <w:bookmarkEnd w:id="23"/>
      <w:r>
        <w:t xml:space="preserve">.  </w:t>
      </w:r>
    </w:p>
    <w:p>
      <w:pPr>
        <w:ind w:left="576" w:firstLine="0"/>
      </w:pPr>
      <w:r>
        <w:t>“</w:t>
      </w:r>
      <w:r>
        <w:rPr>
          <w:u w:val="single"/>
        </w:rPr>
        <w:t>AC</w:t>
      </w:r>
      <w:r>
        <w:t>” means alternating current.</w:t>
      </w:r>
    </w:p>
    <w:p>
      <w:pPr>
        <w:ind w:left="576" w:firstLine="0"/>
      </w:pPr>
      <w:r>
        <w:t>“</w:t>
      </w:r>
      <w:r>
        <w:rPr>
          <w:u w:val="single"/>
        </w:rPr>
        <w:t>Affiliate</w:t>
      </w:r>
      <w:r>
        <w:t>” means for any specific Person, any other Person directly or indirectly controlling or controlled by or under common control with such specified Person.  For purposes of this definition, “control” when used with respect to any entity means the power to direct the management and policies of such entity, directly or indirectly, whether through the ownership of voting securities, by contract or otherwise.  For purposes of this PPA, it is assumed that the direct or indirect owner of fifty percent (50%) or more of the outstanding stock or other equity interest of a Person has “control” of such Person; and the terms “controlling” and “controlled” have meanings correlative to the foregoing.</w:t>
      </w:r>
    </w:p>
    <w:p>
      <w:pPr>
        <w:ind w:left="576" w:firstLine="0"/>
      </w:pPr>
      <w:r>
        <w:t>“</w:t>
      </w:r>
      <w:r>
        <w:rPr>
          <w:u w:val="single"/>
        </w:rPr>
        <w:t>After-Tax Basis</w:t>
      </w:r>
      <w:r>
        <w:t>” means, with respect to any payment received or deemed to have been received by any Person, the amount of such payment (the “</w:t>
      </w:r>
      <w:r>
        <w:rPr>
          <w:u w:val="single"/>
        </w:rPr>
        <w:t>Base Payment</w:t>
      </w:r>
      <w:r>
        <w:t>”) supplemented by a further payment (the “</w:t>
      </w:r>
      <w:r>
        <w:rPr>
          <w:u w:val="single"/>
        </w:rPr>
        <w:t>Additional Payment</w:t>
      </w:r>
      <w:r>
        <w:t>”) to such Person so that the sum of the Base Payment plus the Additional Payment shall, after deduction of the amount of all taxes required to be paid by such Person in respect of the receipt or accrual of the Base Payment and the Additional Payment (taking into account any current or previous credits or deductions arising from the underlying event giving rise to the payment, the Base Payment and the Additional Payment), be equal to the amount required to be received.  Such calculations shall be made on the assumption that the recipient is subject to Federal income taxation at the highest applicable statutory rate applicable to corporations for the relevant period or periods, is subject to state and local income taxation at the highest applicable statutory rates applicable to corporations doing business in Washington, if applicable and shall take into account the deductibility (for Federal income tax purposes) of state and local income taxes.</w:t>
      </w:r>
    </w:p>
    <w:p>
      <w:pPr>
        <w:ind w:left="576" w:firstLine="0"/>
      </w:pPr>
      <w:r>
        <w:t>“</w:t>
      </w:r>
      <w:r>
        <w:rPr>
          <w:u w:val="single"/>
        </w:rPr>
        <w:t>Annual Capacity Factor</w:t>
      </w:r>
      <w:r>
        <w:t>” means the following, expressed as a percentage:</w:t>
      </w:r>
    </w:p>
    <w:p>
      <w:pPr>
        <w:ind w:left="630" w:firstLine="0"/>
        <w:jc w:val="center"/>
      </w:pPr>
      <w:r>
        <w:rPr>
          <w:u w:val="single"/>
        </w:rPr>
        <w:lastRenderedPageBreak/>
        <w:t>Annual Delivered Energy + Force Majeure Energy + Excused Curtailed Energy</w:t>
      </w:r>
      <w:r>
        <w:br/>
        <w:t>8,760 hours × Facility Size (kW)</w:t>
      </w:r>
    </w:p>
    <w:p>
      <w:pPr>
        <w:ind w:left="630" w:firstLine="0"/>
      </w:pPr>
      <w:r>
        <w:t>“</w:t>
      </w:r>
      <w:r>
        <w:rPr>
          <w:u w:val="single"/>
        </w:rPr>
        <w:t>Annual Delivered Energy</w:t>
      </w:r>
      <w:r>
        <w:t>” means the amount of Delivered Energy delivered to PSE by Seller at the Point of Interconnection during the applicable Annual Period pursuant to this PPA.</w:t>
      </w:r>
    </w:p>
    <w:p>
      <w:pPr>
        <w:ind w:left="630" w:firstLine="0"/>
      </w:pPr>
      <w:r>
        <w:t>“</w:t>
      </w:r>
      <w:r>
        <w:rPr>
          <w:u w:val="single"/>
        </w:rPr>
        <w:t>Annual Period</w:t>
      </w:r>
      <w:r>
        <w:t>” means any one of a succession of consecutive twelve (12) month periods, the first of which will begin on the first (1st) Day following the Commercial Operation Date.</w:t>
      </w:r>
    </w:p>
    <w:p>
      <w:pPr>
        <w:ind w:left="630" w:firstLine="0"/>
      </w:pPr>
      <w:r>
        <w:t>“</w:t>
      </w:r>
      <w:r>
        <w:rPr>
          <w:u w:val="single"/>
        </w:rPr>
        <w:t>Applicable Law</w:t>
      </w:r>
      <w:r>
        <w:t>” means, with respect to any Person or the Facility, all laws, statutes, codes, acts, treaties, ordinances, orders, judgments, writs, decrees, injunctions, rules, tariffs, regulations, governmental approvals, licenses and permits, directives and requirements of all regulatory and other governmental authorities as may be amended, in each case applicable to or binding upon such Person or the Facility (as the case may be), including the standards and criteria of the North American Electric Reliability Corporation, Federal Energy Regulatory Commission, and Western Electricity Coordinating Council.</w:t>
      </w:r>
    </w:p>
    <w:p>
      <w:pPr>
        <w:ind w:left="630" w:firstLine="0"/>
      </w:pPr>
      <w:r>
        <w:t>“</w:t>
      </w:r>
      <w:r>
        <w:rPr>
          <w:u w:val="single"/>
        </w:rPr>
        <w:t>Attributes</w:t>
      </w:r>
      <w:r>
        <w:t>” means any and all present or future (known or unknown) defined characteristics, certificates, tags, credits, or ancillary service attributes (including Environmental Attributes), whether general in nature or specific as to the location or any other attribute of the Facility or generation of Energy from the Facility, intended to value any aspect of the capacity or ability of the Facility to provide capacity or produce Energy or ancillary services.  Attributes include all rights to report ownership of any of the foregoing to any entity, organization, governmental body, or otherwise at PSE’s sole discretion.  Attributes do not include Incentives.</w:t>
      </w:r>
    </w:p>
    <w:p>
      <w:pPr>
        <w:ind w:left="630" w:firstLine="0"/>
      </w:pPr>
      <w:r>
        <w:t>“</w:t>
      </w:r>
      <w:r>
        <w:rPr>
          <w:u w:val="single"/>
        </w:rPr>
        <w:t>Auto Liability</w:t>
      </w:r>
      <w:r>
        <w:t>” has the meaning set forth in Section </w:t>
      </w:r>
      <w:r>
        <w:fldChar w:fldCharType="begin"/>
      </w:r>
      <w:r>
        <w:instrText xml:space="preserve"> REF _Ref145701944 \w \h </w:instrText>
      </w:r>
      <w:r>
        <w:fldChar w:fldCharType="separate"/>
      </w:r>
      <w:r>
        <w:t>19.3</w:t>
      </w:r>
      <w:r>
        <w:fldChar w:fldCharType="end"/>
      </w:r>
      <w:r>
        <w:t>.</w:t>
      </w:r>
    </w:p>
    <w:p>
      <w:pPr>
        <w:ind w:left="630" w:firstLine="0"/>
      </w:pPr>
      <w:r>
        <w:t>“</w:t>
      </w:r>
      <w:r>
        <w:rPr>
          <w:u w:val="single"/>
        </w:rPr>
        <w:t>Automobile Insurance</w:t>
      </w:r>
      <w:r>
        <w:t>” has the meaning set forth in Section </w:t>
      </w:r>
      <w:r>
        <w:fldChar w:fldCharType="begin"/>
      </w:r>
      <w:r>
        <w:instrText xml:space="preserve"> REF _Ref145701962 \w \h </w:instrText>
      </w:r>
      <w:r>
        <w:fldChar w:fldCharType="separate"/>
      </w:r>
      <w:r>
        <w:t>19.1.3</w:t>
      </w:r>
      <w:r>
        <w:fldChar w:fldCharType="end"/>
      </w:r>
      <w:r>
        <w:t>.</w:t>
      </w:r>
    </w:p>
    <w:p>
      <w:pPr>
        <w:ind w:left="630" w:firstLine="0"/>
      </w:pPr>
      <w:r>
        <w:t>“</w:t>
      </w:r>
      <w:r>
        <w:rPr>
          <w:u w:val="single"/>
        </w:rPr>
        <w:t>Business Day</w:t>
      </w:r>
      <w:r>
        <w:t>” means any Day except a Saturday, Sunday, or a Federal Reserve Bank holiday in California. A Business Day begins at 8:00 a.m. and ends at 5:00 p.m. local time for the Party sending a notice, or payment, or performing a specified action.</w:t>
      </w:r>
    </w:p>
    <w:p>
      <w:pPr>
        <w:ind w:left="630" w:firstLine="0"/>
      </w:pPr>
      <w:r>
        <w:t>“</w:t>
      </w:r>
      <w:r>
        <w:rPr>
          <w:u w:val="single"/>
        </w:rPr>
        <w:t>Clean Energy Transformation Act</w:t>
      </w:r>
      <w:r>
        <w:t>” means the Clean Energy Transformation Act, chapter 19.405 RCW.</w:t>
      </w:r>
    </w:p>
    <w:p>
      <w:pPr>
        <w:ind w:left="630" w:firstLine="0"/>
      </w:pPr>
      <w:r>
        <w:t>“</w:t>
      </w:r>
      <w:r>
        <w:rPr>
          <w:u w:val="single"/>
        </w:rPr>
        <w:t>Commercial Operation”</w:t>
      </w:r>
      <w:r>
        <w:t xml:space="preserve"> means that the following conditions have been fulfilled: (i) 100 percent (100%) of the Facility Size is ready for continuous generation and delivery of Solar Output to the Point of Interconnection for sale to PSE pursuant to the terms of this PPA; (ii) the Facility has been fully and satisfactorily tested and commissioned and all related facilities and rights have been completed or obtained to allow for normal and continuous operation of the Facility at 100 percent (100%) of the Facility Size; (iii) Seller shall have satisfied the requirements set forth in the Commercial Operation Certificate in the form attached as </w:t>
      </w:r>
      <w:r>
        <w:fldChar w:fldCharType="begin"/>
      </w:r>
      <w:r>
        <w:instrText xml:space="preserve"> REF _docxtools_475 \w \h  </w:instrText>
      </w:r>
      <w:r>
        <w:fldChar w:fldCharType="separate"/>
      </w:r>
      <w:r>
        <w:t>Appendix C</w:t>
      </w:r>
      <w:r>
        <w:fldChar w:fldCharType="end"/>
      </w:r>
      <w:r>
        <w:t xml:space="preserve"> with respect to the Facility; (iv) Seller shall have delivered the true, correct, and complete Commercial Operation Certificate from Seller and the Independent Engineer; (v) all related facilities and rights have been completed or obtained, so as to allow for normal and continuous operation of the Facility and delivery of Solar Output for sale to PSE at the Point of Interconnection pursuant to this PPA; and (iv) Seller shall </w:t>
      </w:r>
      <w:r>
        <w:lastRenderedPageBreak/>
        <w:t xml:space="preserve">have received all local, state, and governmental and regulatory approvals and other approvals as may be required by Applicable Law for the construction, operation, and maintenance of the Facility.  </w:t>
      </w:r>
    </w:p>
    <w:p>
      <w:pPr>
        <w:ind w:left="630" w:firstLine="0"/>
      </w:pPr>
      <w:r>
        <w:t>“</w:t>
      </w:r>
      <w:r>
        <w:rPr>
          <w:u w:val="single"/>
        </w:rPr>
        <w:t>Commercial Operation Authorization</w:t>
      </w:r>
      <w:r>
        <w:t xml:space="preserve">” has the meaning assigned in </w:t>
      </w:r>
      <w:r>
        <w:rPr>
          <w:u w:val="single"/>
        </w:rPr>
        <w:t>Section 9.1</w:t>
      </w:r>
      <w:r>
        <w:t>.</w:t>
      </w:r>
    </w:p>
    <w:p>
      <w:pPr>
        <w:ind w:left="630" w:firstLine="0"/>
      </w:pPr>
      <w:r>
        <w:t>“</w:t>
      </w:r>
      <w:r>
        <w:rPr>
          <w:u w:val="single"/>
        </w:rPr>
        <w:t>Commercial Operation Certificate</w:t>
      </w:r>
      <w:r>
        <w:t xml:space="preserve">” means the certificate attached hereto as </w:t>
      </w:r>
      <w:r>
        <w:rPr>
          <w:u w:val="single"/>
        </w:rPr>
        <w:t>Appendix C</w:t>
      </w:r>
      <w:r>
        <w:t>.</w:t>
      </w:r>
    </w:p>
    <w:p>
      <w:pPr>
        <w:ind w:left="630" w:firstLine="0"/>
      </w:pPr>
      <w:r>
        <w:t>“</w:t>
      </w:r>
      <w:r>
        <w:rPr>
          <w:u w:val="single"/>
        </w:rPr>
        <w:t>Commercial Operation Date</w:t>
      </w:r>
      <w:r>
        <w:t>” means that Day on which Commercial Operation Authorization occurs.</w:t>
      </w:r>
    </w:p>
    <w:p>
      <w:pPr>
        <w:ind w:left="630" w:firstLine="0"/>
      </w:pPr>
      <w:r>
        <w:t>“</w:t>
      </w:r>
      <w:r>
        <w:rPr>
          <w:u w:val="single"/>
        </w:rPr>
        <w:t>Construction Start Date</w:t>
      </w:r>
      <w:r>
        <w:t>” means the Milestone date by which a “Final Notice to Proceed” (or similar phrase, as applicable) must be issued by Seller under the applicable engineering, procurement and construction contract in respect of the Facility.</w:t>
      </w:r>
    </w:p>
    <w:p>
      <w:pPr>
        <w:ind w:left="630" w:firstLine="0"/>
      </w:pPr>
      <w:r>
        <w:t>“</w:t>
      </w:r>
      <w:r>
        <w:rPr>
          <w:u w:val="single"/>
        </w:rPr>
        <w:t>Creditworthy</w:t>
      </w:r>
      <w:r>
        <w:t>” means a Person (a) with an investment grade rating from two (2) of the three (3) Rating Agencies such that its senior unsecured debt (or issuer rating if such Person has no senior unsecured debt rating) is rated at least (1) BBB- by S&amp;P, if rated by S&amp;P, (2) Baa3 by Moody’s, if rated by Moody’s, and (3) BBB- by Fitch, if rated by Fitch, respectively, and (b) has satisfactory and verifiable creditworthiness determined in PSE’s sole discretion.</w:t>
      </w:r>
    </w:p>
    <w:p>
      <w:pPr>
        <w:ind w:left="630" w:firstLine="0"/>
      </w:pPr>
      <w:r>
        <w:t>“</w:t>
      </w:r>
      <w:r>
        <w:rPr>
          <w:u w:val="single"/>
        </w:rPr>
        <w:t>Day</w:t>
      </w:r>
      <w:r>
        <w:t>” means a calendar day.</w:t>
      </w:r>
    </w:p>
    <w:p>
      <w:pPr>
        <w:ind w:left="630" w:firstLine="0"/>
      </w:pPr>
      <w:r>
        <w:t>“</w:t>
      </w:r>
      <w:r>
        <w:rPr>
          <w:u w:val="single"/>
        </w:rPr>
        <w:t>Delay Damages</w:t>
      </w:r>
      <w:r>
        <w:t>” means liquidated damages in an amount equal to the lesser of (i) [</w:t>
      </w:r>
      <w:r>
        <w:tab/>
        <w:t>] per kW ($[</w:t>
      </w:r>
      <w:r>
        <w:tab/>
        <w:t>]/kW) of the Facility (prorated for partial kW) per Day, or (ii) [</w:t>
      </w:r>
      <w:r>
        <w:tab/>
        <w:t>] ($[</w:t>
      </w:r>
      <w:r>
        <w:tab/>
        <w:t>]) per Day (including partial Days).</w:t>
      </w:r>
    </w:p>
    <w:p>
      <w:pPr>
        <w:ind w:left="630" w:firstLine="0"/>
      </w:pPr>
      <w:r>
        <w:t>“</w:t>
      </w:r>
      <w:r>
        <w:rPr>
          <w:u w:val="single"/>
        </w:rPr>
        <w:t>Delivered Energy</w:t>
      </w:r>
      <w:r>
        <w:t>” means all Energy in kWh produced by the Facility and delivered to PSE by Seller at the Point of Interconnection in accordance with this PPA, net of Permitted Station Service.</w:t>
      </w:r>
    </w:p>
    <w:p>
      <w:pPr>
        <w:ind w:left="630" w:firstLine="0"/>
      </w:pPr>
      <w:r>
        <w:t>“</w:t>
      </w:r>
      <w:r>
        <w:rPr>
          <w:u w:val="single"/>
        </w:rPr>
        <w:t>Delivery Period</w:t>
      </w:r>
      <w:r>
        <w:t xml:space="preserve">” has the meaning assigned in Section 3 of </w:t>
      </w:r>
      <w:r>
        <w:rPr>
          <w:u w:val="single"/>
        </w:rPr>
        <w:t>Appendix A</w:t>
      </w:r>
      <w:r>
        <w:t>.</w:t>
      </w:r>
    </w:p>
    <w:p>
      <w:pPr>
        <w:ind w:left="630" w:firstLine="0"/>
      </w:pPr>
      <w:r>
        <w:t>“</w:t>
      </w:r>
      <w:r>
        <w:rPr>
          <w:u w:val="single"/>
        </w:rPr>
        <w:t>Eligible Collateral</w:t>
      </w:r>
      <w:r>
        <w:t>” means (a) cash deposited into a Security Account or as otherwise deposited with PSE as the Parties may agree, (b) a Letter of Credit, or (c) a Seller Guaranty.</w:t>
      </w:r>
    </w:p>
    <w:p>
      <w:pPr>
        <w:ind w:left="630" w:firstLine="0"/>
      </w:pPr>
      <w:r>
        <w:t>“</w:t>
      </w:r>
      <w:r>
        <w:rPr>
          <w:u w:val="single"/>
        </w:rPr>
        <w:t>Energy</w:t>
      </w:r>
      <w:r>
        <w:t>” means electric energy in the form of three (3) phase, sixty (60) Hertz, alternating current.</w:t>
      </w:r>
    </w:p>
    <w:p>
      <w:pPr>
        <w:ind w:left="630" w:firstLine="0"/>
      </w:pPr>
      <w:r>
        <w:t>“</w:t>
      </w:r>
      <w:r>
        <w:rPr>
          <w:u w:val="single"/>
        </w:rPr>
        <w:t>Energy Independence Act</w:t>
      </w:r>
      <w:r>
        <w:t>” means the Washington Energy Independence Act, chapter 19.285 RCW.</w:t>
      </w:r>
    </w:p>
    <w:p>
      <w:pPr>
        <w:ind w:left="630" w:firstLine="0"/>
      </w:pPr>
      <w:r>
        <w:t>“</w:t>
      </w:r>
      <w:r>
        <w:rPr>
          <w:u w:val="single"/>
        </w:rPr>
        <w:t>Environmental Attributes</w:t>
      </w:r>
      <w:r>
        <w:t>” means (a) any and all fuel-related, emissions-related, air quality-related or other environmental-related aspects, claims, characteristics, benefits, credits, including RECs, reductions, offsets, savings, allowances, efficiencies, certificates, tags, attributes, demand reductions or similar products or rights (including all of those relating to greenhouse gases and all green certificates, green tags, renewable certificates and renewable energy credits, CO</w:t>
      </w:r>
      <w:r>
        <w:rPr>
          <w:vertAlign w:val="subscript"/>
        </w:rPr>
        <w:t>2</w:t>
      </w:r>
      <w:r>
        <w:t xml:space="preserve"> credits, emissions reduction credits and all those that otherwise arise or result from the generation of Energy from the Facility, and all those arising or resulting from the existence of the Facility) (i) howsoever titled and whether known or unknown, (ii) whether existing as of the Execution Date or at any time during the Term, and (iii) whether such Environmental Attributes have been certified or verified under any </w:t>
      </w:r>
      <w:r>
        <w:lastRenderedPageBreak/>
        <w:t>renewable standard, including all those that could qualify or do qualify for application toward compliance with any local, state, federal or international renewable energy portfolio standard, green pricing program, renewable energy program, carbon reduction or greenhouse gas reduction initiative, electricity savings program, or other environmental program, incentive, mandate or objective, in each case whether voluntary or mandatory, and (b) any environmental benefit PSE otherwise would have realized from or related to the Facility if PSE rather than Seller had constructed, owned or operated the Facility.  Environmental Attributes do not include Incentives.</w:t>
      </w:r>
    </w:p>
    <w:p>
      <w:pPr>
        <w:ind w:left="630" w:firstLine="0"/>
      </w:pPr>
      <w:r>
        <w:t>“</w:t>
      </w:r>
      <w:r>
        <w:rPr>
          <w:u w:val="single"/>
        </w:rPr>
        <w:t>EPC</w:t>
      </w:r>
      <w:r>
        <w:t xml:space="preserve">” has the meaning assigned in </w:t>
      </w:r>
      <w:r>
        <w:rPr>
          <w:u w:val="single"/>
        </w:rPr>
        <w:t>Section 20.1</w:t>
      </w:r>
      <w:r>
        <w:t>.</w:t>
      </w:r>
    </w:p>
    <w:p>
      <w:pPr>
        <w:ind w:left="630" w:firstLine="0"/>
      </w:pPr>
      <w:r>
        <w:t>“</w:t>
      </w:r>
      <w:r>
        <w:rPr>
          <w:u w:val="single"/>
        </w:rPr>
        <w:t>Event of Default</w:t>
      </w:r>
      <w:r>
        <w:t xml:space="preserve">” has the meaning assigned in </w:t>
      </w:r>
      <w:r>
        <w:rPr>
          <w:u w:val="single"/>
        </w:rPr>
        <w:t>Section </w:t>
      </w:r>
      <w:r>
        <w:rPr>
          <w:u w:val="single"/>
        </w:rPr>
        <w:fldChar w:fldCharType="begin"/>
      </w:r>
      <w:r>
        <w:rPr>
          <w:u w:val="single"/>
        </w:rPr>
        <w:instrText xml:space="preserve"> REF _Ref140394394 \w \h  \* MERGEFORMAT </w:instrText>
      </w:r>
      <w:r>
        <w:rPr>
          <w:u w:val="single"/>
        </w:rPr>
      </w:r>
      <w:r>
        <w:rPr>
          <w:u w:val="single"/>
        </w:rPr>
        <w:fldChar w:fldCharType="separate"/>
      </w:r>
      <w:r>
        <w:rPr>
          <w:u w:val="single"/>
        </w:rPr>
        <w:t>17.1</w:t>
      </w:r>
      <w:r>
        <w:rPr>
          <w:u w:val="single"/>
        </w:rPr>
        <w:fldChar w:fldCharType="end"/>
      </w:r>
      <w:r>
        <w:t>.</w:t>
      </w:r>
    </w:p>
    <w:p>
      <w:pPr>
        <w:ind w:left="630" w:firstLine="0"/>
      </w:pPr>
      <w:r>
        <w:t>“</w:t>
      </w:r>
      <w:r>
        <w:rPr>
          <w:u w:val="single"/>
        </w:rPr>
        <w:t>Excused Curtailed Energy</w:t>
      </w:r>
      <w:r>
        <w:t xml:space="preserve">” means any amount of Energy not delivered from the Facility to the Point of Interconnection as a result of PSE temporarily disconnecting the Facility, or curtailing the delivery of Energy from the Facility, under the Interconnection Agreement or pursuant to a System Curtailment Order, provided that, and only to the extent that, such disconnection or curtailment is not caused by Seller or the Facility (including any failure of the Seller or the Facility to fully comply with the Interconnection Agreement) and such Energy not delivered is not </w:t>
      </w:r>
      <w:bookmarkStart w:id="24" w:name="OLE_LINK1"/>
      <w:r>
        <w:t>Force Majeure Energy</w:t>
      </w:r>
      <w:bookmarkEnd w:id="24"/>
      <w:r>
        <w:t xml:space="preserve"> that Seller or PSE is excused from delivering or receiving (as applicable) pursuant to </w:t>
      </w:r>
      <w:r>
        <w:rPr>
          <w:u w:val="single"/>
        </w:rPr>
        <w:t>Section </w:t>
      </w:r>
      <w:r>
        <w:rPr>
          <w:u w:val="single"/>
        </w:rPr>
        <w:fldChar w:fldCharType="begin"/>
      </w:r>
      <w:r>
        <w:rPr>
          <w:u w:val="single"/>
        </w:rPr>
        <w:instrText xml:space="preserve"> REF _Ref140340821 \r \h </w:instrText>
      </w:r>
      <w:r>
        <w:rPr>
          <w:u w:val="single"/>
        </w:rPr>
      </w:r>
      <w:r>
        <w:rPr>
          <w:u w:val="single"/>
        </w:rPr>
        <w:fldChar w:fldCharType="separate"/>
      </w:r>
      <w:r>
        <w:rPr>
          <w:u w:val="single"/>
        </w:rPr>
        <w:t>14</w:t>
      </w:r>
      <w:r>
        <w:rPr>
          <w:u w:val="single"/>
        </w:rPr>
        <w:fldChar w:fldCharType="end"/>
      </w:r>
      <w:r>
        <w:t>.  Excused Curtailed Energy will be calculated pursuant to a methodology to be determined reasonably prior to the Commercial Operation Date by mutual agreement of the Parties, provided that such methodology must be consistent with Prudent Operating Practices.</w:t>
      </w:r>
    </w:p>
    <w:p>
      <w:pPr>
        <w:ind w:left="630" w:firstLine="0"/>
      </w:pPr>
      <w:r>
        <w:t>“</w:t>
      </w:r>
      <w:r>
        <w:rPr>
          <w:u w:val="single"/>
        </w:rPr>
        <w:t>Excused Maintenance Energy</w:t>
      </w:r>
      <w:r>
        <w:t>” means any amount of Energy not generated at the Facility and delivered to the Point of Interconnection as a result of Seller conducting maintenance on the Facility (including a Planned Outage), provided that such energy not delivered is not Excused Curtailed Energy or Force Majeure Energy.  Excused Maintenance Energy will be calculated pursuant to a methodology to be determined reasonably prior to the Commercial Operation Date by mutual agreement of the Parties, provided that such methodology must be consistent with Prudent Operating Practices.  Notwithstanding the foregoing sentence, Executed Maintenance Energy (i) may not exceed [</w:t>
      </w:r>
      <w:r>
        <w:tab/>
      </w:r>
      <w:r>
        <w:tab/>
        <w:t>] hours during any calendar year (pro-rated for any partial calendar year during the Term) and (ii) will not include any Energy not delivered as a result of maintenance required due to an unplanned Facility outage or that is due to the negligence or fault of Seller.</w:t>
      </w:r>
    </w:p>
    <w:p>
      <w:pPr>
        <w:ind w:left="630" w:firstLine="0"/>
      </w:pPr>
      <w:r>
        <w:t>“</w:t>
      </w:r>
      <w:r>
        <w:rPr>
          <w:u w:val="single"/>
        </w:rPr>
        <w:t>Execution Date</w:t>
      </w:r>
      <w:r>
        <w:t>” means the date on which PSE executes this PPA.</w:t>
      </w:r>
    </w:p>
    <w:p>
      <w:pPr>
        <w:ind w:left="630" w:firstLine="0"/>
      </w:pPr>
      <w:r>
        <w:t>“</w:t>
      </w:r>
      <w:r>
        <w:rPr>
          <w:u w:val="single"/>
        </w:rPr>
        <w:t>Facility</w:t>
      </w:r>
      <w:r>
        <w:t xml:space="preserve">” means Seller’s distributed energy resource facility as described in </w:t>
      </w:r>
      <w:r>
        <w:fldChar w:fldCharType="begin"/>
      </w:r>
      <w:r>
        <w:instrText xml:space="preserve"> REF _docxtools_313 \n \h </w:instrText>
      </w:r>
      <w:r>
        <w:fldChar w:fldCharType="separate"/>
      </w:r>
      <w:r>
        <w:t>Section 2</w:t>
      </w:r>
      <w:r>
        <w:fldChar w:fldCharType="end"/>
      </w:r>
      <w:r>
        <w:t xml:space="preserve"> of </w:t>
      </w:r>
      <w:r>
        <w:rPr>
          <w:u w:val="single"/>
        </w:rPr>
        <w:fldChar w:fldCharType="begin"/>
      </w:r>
      <w:r>
        <w:rPr>
          <w:u w:val="single"/>
        </w:rPr>
        <w:instrText xml:space="preserve"> REF _docxtools_290 \w \h  </w:instrText>
      </w:r>
      <w:r>
        <w:rPr>
          <w:u w:val="single"/>
        </w:rPr>
      </w:r>
      <w:r>
        <w:rPr>
          <w:u w:val="single"/>
        </w:rPr>
        <w:fldChar w:fldCharType="separate"/>
      </w:r>
      <w:r>
        <w:rPr>
          <w:u w:val="single"/>
        </w:rPr>
        <w:t>Appendix A</w:t>
      </w:r>
      <w:r>
        <w:rPr>
          <w:u w:val="single"/>
        </w:rPr>
        <w:fldChar w:fldCharType="end"/>
      </w:r>
      <w:r>
        <w:t xml:space="preserve">.  “Facility” does not include any part of the Premises that is not part of the distributed energy resource.  </w:t>
      </w:r>
    </w:p>
    <w:p>
      <w:pPr>
        <w:ind w:left="630" w:firstLine="0"/>
      </w:pPr>
      <w:r>
        <w:t>“</w:t>
      </w:r>
      <w:r>
        <w:rPr>
          <w:u w:val="single"/>
        </w:rPr>
        <w:t>Facility Size</w:t>
      </w:r>
      <w:r>
        <w:t xml:space="preserve">” has the meaning assigned in </w:t>
      </w:r>
      <w:r>
        <w:fldChar w:fldCharType="begin"/>
      </w:r>
      <w:r>
        <w:instrText xml:space="preserve"> REF _docxtools_313 \n \h </w:instrText>
      </w:r>
      <w:r>
        <w:fldChar w:fldCharType="separate"/>
      </w:r>
      <w:r>
        <w:t>Section 2</w:t>
      </w:r>
      <w:r>
        <w:fldChar w:fldCharType="end"/>
      </w:r>
      <w:r>
        <w:t xml:space="preserve"> of </w:t>
      </w:r>
      <w:r>
        <w:rPr>
          <w:u w:val="single"/>
        </w:rPr>
        <w:fldChar w:fldCharType="begin"/>
      </w:r>
      <w:r>
        <w:rPr>
          <w:u w:val="single"/>
        </w:rPr>
        <w:instrText xml:space="preserve"> REF _docxtools_290 \w \h  </w:instrText>
      </w:r>
      <w:r>
        <w:rPr>
          <w:u w:val="single"/>
        </w:rPr>
      </w:r>
      <w:r>
        <w:rPr>
          <w:u w:val="single"/>
        </w:rPr>
        <w:fldChar w:fldCharType="separate"/>
      </w:r>
      <w:r>
        <w:rPr>
          <w:u w:val="single"/>
        </w:rPr>
        <w:t>Appendix A</w:t>
      </w:r>
      <w:r>
        <w:rPr>
          <w:u w:val="single"/>
        </w:rPr>
        <w:fldChar w:fldCharType="end"/>
      </w:r>
      <w:r>
        <w:t>.</w:t>
      </w:r>
    </w:p>
    <w:p>
      <w:pPr>
        <w:ind w:left="630" w:firstLine="0"/>
      </w:pPr>
      <w:r>
        <w:t>“</w:t>
      </w:r>
      <w:r>
        <w:rPr>
          <w:u w:val="single"/>
        </w:rPr>
        <w:t>Final Facility Documents</w:t>
      </w:r>
      <w:r>
        <w:t>” means the final Facility documents required by PSE for use in the design, procurement, construction and installation of its interconnection facilities (including the final Facility one-line diagram, Site plan, and panel and inverter specifications), which are not subject to change in any material way.</w:t>
      </w:r>
    </w:p>
    <w:p>
      <w:pPr>
        <w:ind w:left="630" w:firstLine="0"/>
      </w:pPr>
      <w:r>
        <w:lastRenderedPageBreak/>
        <w:t>“</w:t>
      </w:r>
      <w:r>
        <w:rPr>
          <w:u w:val="single"/>
        </w:rPr>
        <w:t>Force Majeure Energy</w:t>
      </w:r>
      <w:r>
        <w:t xml:space="preserve">” means the amount of Energy that Seller is excused from delivering to the Point of Interconnection, or that PSE is excused from receiving at the Point of Interconnection, pursuant to </w:t>
      </w:r>
      <w:r>
        <w:rPr>
          <w:u w:val="single"/>
        </w:rPr>
        <w:t>Section </w:t>
      </w:r>
      <w:r>
        <w:rPr>
          <w:u w:val="single"/>
        </w:rPr>
        <w:fldChar w:fldCharType="begin"/>
      </w:r>
      <w:r>
        <w:rPr>
          <w:u w:val="single"/>
        </w:rPr>
        <w:instrText xml:space="preserve"> REF _Ref140340821 \w \h  \* MERGEFORMAT </w:instrText>
      </w:r>
      <w:r>
        <w:rPr>
          <w:u w:val="single"/>
        </w:rPr>
      </w:r>
      <w:r>
        <w:rPr>
          <w:u w:val="single"/>
        </w:rPr>
        <w:fldChar w:fldCharType="separate"/>
      </w:r>
      <w:r>
        <w:rPr>
          <w:u w:val="single"/>
        </w:rPr>
        <w:t>14</w:t>
      </w:r>
      <w:r>
        <w:rPr>
          <w:u w:val="single"/>
        </w:rPr>
        <w:fldChar w:fldCharType="end"/>
      </w:r>
      <w:r>
        <w:t>.  Force Majeure Energy will be calculated pursuant to a methodology to be determined reasonably prior to the Commercial Operation Date by mutual agreement of the Parties, provided that such methodology must be consistent with Prudent Operating Practices.</w:t>
      </w:r>
    </w:p>
    <w:p>
      <w:pPr>
        <w:ind w:left="630" w:firstLine="0"/>
      </w:pPr>
      <w:r>
        <w:t>“</w:t>
      </w:r>
      <w:r>
        <w:rPr>
          <w:u w:val="single"/>
        </w:rPr>
        <w:t>Force Majeure Event</w:t>
      </w:r>
      <w:r>
        <w:t>” means any occurrence, non-occurrence or set of circumstances that is beyond the reasonable control of such Party, is not reasonably foreseeable, and is not caused by such Party’s negligence, inaction, lack of due diligence, breach of this PPA, or failure to follow Prudent Operating Practices.  The term Force Majeure Event will not include:  (a) the inability to meet a legal requirement or the change in a legal requirement; (b) any inability to obtain or maintain, or delay in obtaining, any permit, approval or other consent required from a governmental authority; (c) equipment failure or equipment damage in the case of the Facility or any failure of Seller’s contractors, suppliers or vendors, unless such failure or damage results directly from an event that would otherwise constitute a Force Majeure Event hereunder; (d) change in market conditions that affects the cost or availability of equipment, materials, supplies or services, unless such cost or availability change results directly from an event that would otherwise constitute a Force Majeure Event hereunder; (e) unavailability, variability, or lack of adequate solar insolation, unless such unavailability, variability, or lack of adequate solar insolation results directly from an event that would otherwise constitute a Force Majeure Event hereunder; and (f) failure or inability to obtain or retain sufficient funds for any reason, or Seller’s loss of or inability to obtain or retain any Incentives with respect to any portion of the Facility.</w:t>
      </w:r>
    </w:p>
    <w:p>
      <w:pPr>
        <w:ind w:left="630" w:firstLine="0"/>
      </w:pPr>
      <w:r>
        <w:t>“</w:t>
      </w:r>
      <w:r>
        <w:rPr>
          <w:u w:val="single"/>
        </w:rPr>
        <w:t>HB 1589</w:t>
      </w:r>
      <w:r>
        <w:t xml:space="preserve">” has the meaning assigned in </w:t>
      </w:r>
      <w:r>
        <w:rPr>
          <w:u w:val="single"/>
        </w:rPr>
        <w:t>Section 20.1</w:t>
      </w:r>
      <w:r>
        <w:t>.</w:t>
      </w:r>
    </w:p>
    <w:p>
      <w:pPr>
        <w:ind w:left="630" w:firstLine="0"/>
      </w:pPr>
      <w:r>
        <w:t>“</w:t>
      </w:r>
      <w:r>
        <w:rPr>
          <w:u w:val="single"/>
        </w:rPr>
        <w:t>Incentives</w:t>
      </w:r>
      <w:r>
        <w:t>” means (i) any and all present or future (whether known or unknown) state and federal production tax credits (including any Production Tax Credits, defined as the tax credits applicable to electricity produced from certain renewable resources pursuant to Section 45 of the Internal Revenue Code), investment tax credits (including any Investment Tax Credits, defined as the tax credits applicable to certain property described in Section 48 of the Internal Revenue Code) and any other tax credits which are or will be generated by the Facility, and (ii) present or future (whether known or unknown) cash payments, alternative digital currencies or cryptocurrencies provided or made available by non-governmental entities to the Facility or otherwise to renewable energy generators, or outright grants of money relating in any way to the Facility.  Incentives do not include Attributes.</w:t>
      </w:r>
    </w:p>
    <w:p>
      <w:pPr>
        <w:ind w:left="630" w:firstLine="0"/>
      </w:pPr>
      <w:r>
        <w:t>“</w:t>
      </w:r>
      <w:r>
        <w:rPr>
          <w:u w:val="single"/>
        </w:rPr>
        <w:t>Initial Synchronization</w:t>
      </w:r>
      <w:r>
        <w:t>” means the energization of the interconnection facilities under the Interconnection Agreement to allow trial parallel operation of the Facility (including export of test electric energy to the designated PSE Distribution Circuit for no more than seven (7) consecutive Days).</w:t>
      </w:r>
    </w:p>
    <w:p>
      <w:pPr>
        <w:ind w:left="630" w:firstLine="0"/>
      </w:pPr>
      <w:r>
        <w:t>“</w:t>
      </w:r>
      <w:r>
        <w:rPr>
          <w:u w:val="single"/>
        </w:rPr>
        <w:t>Interconnection Agreement</w:t>
      </w:r>
      <w:r>
        <w:t>” means PSE’s interconnection agreement that Seller is required to execute for the interconnection of the Facility to the PSE Distribution Circuit.</w:t>
      </w:r>
    </w:p>
    <w:p>
      <w:pPr>
        <w:ind w:left="630" w:firstLine="0"/>
      </w:pPr>
      <w:r>
        <w:t>“</w:t>
      </w:r>
      <w:r>
        <w:rPr>
          <w:u w:val="single"/>
        </w:rPr>
        <w:t>Interconnection Costs</w:t>
      </w:r>
      <w:r>
        <w:t xml:space="preserve">” means all costs and expenses (including overheads) arising in connection with the technical review, design, procurement, construction, and installation of facilities required for the interconnection of the Facility to the PSE Distribution Circuit and ongoing maintenance of </w:t>
      </w:r>
      <w:r>
        <w:lastRenderedPageBreak/>
        <w:t>such interconnection facilities (including costs associated with obtaining property or property rights required for interconnection, such as easements).</w:t>
      </w:r>
    </w:p>
    <w:p>
      <w:pPr>
        <w:ind w:left="630" w:firstLine="0"/>
      </w:pPr>
      <w:r>
        <w:t>“</w:t>
      </w:r>
      <w:r>
        <w:rPr>
          <w:u w:val="single"/>
        </w:rPr>
        <w:t>Interconnection Limit</w:t>
      </w:r>
      <w:r>
        <w:t xml:space="preserve">” means the maximum power output (kW) established by PSE, as the interconnecting utility and counterparty to the Interconnection Agreement, that is specified in Section 2 of </w:t>
      </w:r>
      <w:r>
        <w:rPr>
          <w:u w:val="single"/>
        </w:rPr>
        <w:t>Appendix A</w:t>
      </w:r>
      <w:r>
        <w:t>.</w:t>
      </w:r>
    </w:p>
    <w:p>
      <w:pPr>
        <w:ind w:left="630" w:firstLine="0"/>
      </w:pPr>
      <w:r>
        <w:t>“</w:t>
      </w:r>
      <w:r>
        <w:rPr>
          <w:u w:val="single"/>
        </w:rPr>
        <w:t>kW</w:t>
      </w:r>
      <w:r>
        <w:t>” means kilowatt (AC).</w:t>
      </w:r>
    </w:p>
    <w:p>
      <w:pPr>
        <w:ind w:left="630" w:firstLine="0"/>
      </w:pPr>
      <w:r>
        <w:t>“</w:t>
      </w:r>
      <w:r>
        <w:rPr>
          <w:u w:val="single"/>
        </w:rPr>
        <w:t>kWh</w:t>
      </w:r>
      <w:r>
        <w:t>” means kilowatt-hour (AC).</w:t>
      </w:r>
    </w:p>
    <w:p>
      <w:pPr>
        <w:ind w:left="630" w:firstLine="0"/>
      </w:pPr>
      <w:r>
        <w:t>“</w:t>
      </w:r>
      <w:r>
        <w:rPr>
          <w:u w:val="single"/>
        </w:rPr>
        <w:t>Letter of Credit</w:t>
      </w:r>
      <w:r>
        <w:t xml:space="preserve">” means an irrevocable standby letter of credit, the form of which is attached as </w:t>
      </w:r>
      <w:r>
        <w:rPr>
          <w:u w:val="single"/>
        </w:rPr>
        <w:fldChar w:fldCharType="begin"/>
      </w:r>
      <w:r>
        <w:rPr>
          <w:u w:val="single"/>
        </w:rPr>
        <w:instrText xml:space="preserve"> REF _docxtools_656 \w \h  </w:instrText>
      </w:r>
      <w:r>
        <w:rPr>
          <w:u w:val="single"/>
        </w:rPr>
      </w:r>
      <w:r>
        <w:rPr>
          <w:u w:val="single"/>
        </w:rPr>
        <w:fldChar w:fldCharType="separate"/>
      </w:r>
      <w:r>
        <w:rPr>
          <w:u w:val="single"/>
        </w:rPr>
        <w:t>Appendix G</w:t>
      </w:r>
      <w:r>
        <w:rPr>
          <w:u w:val="single"/>
        </w:rPr>
        <w:fldChar w:fldCharType="end"/>
      </w:r>
      <w:r>
        <w:t>, that is (a) is issued by a U.S. commercial bank or a U.S. branch of a foreign bank with total assets of at least ten billion dollars ($10,000,000,000) and having a general long-term senior unsecured debt rating of A minus or higher as rated by S&amp;P, or A3 or higher as rated by Moody’s, or A minus or higher as rated by Fitch and (b) otherwise acceptable to PSE in PSE’s reasonable discretion.</w:t>
      </w:r>
    </w:p>
    <w:p>
      <w:pPr>
        <w:ind w:left="630" w:firstLine="0"/>
      </w:pPr>
      <w:r>
        <w:t>“</w:t>
      </w:r>
      <w:r>
        <w:rPr>
          <w:u w:val="single"/>
        </w:rPr>
        <w:t>Licensed Professional Engineer</w:t>
      </w:r>
      <w:r>
        <w:t>” means an independent third party licensed professional engineer that is acceptable to both Parties in each’s reasonable judgement.</w:t>
      </w:r>
    </w:p>
    <w:p>
      <w:pPr>
        <w:ind w:left="630" w:firstLine="0"/>
      </w:pPr>
      <w:r>
        <w:t>“</w:t>
      </w:r>
      <w:r>
        <w:rPr>
          <w:u w:val="single"/>
        </w:rPr>
        <w:t>Major Equipment Commitment Date</w:t>
      </w:r>
      <w:r>
        <w:t>” means the date on which Seller shall have irrevocably committed to the purchase of all of the solar panel modules and equipment for the Facility, as evidenced by Seller furnishing to PSE a certificate from a duly authorized representative of Seller attesting to the entry into of a binding written contract therefor with each supplier that includes either (i) the payment by Seller of a non-refundable deposit in cash in an amount equal to or greater than [</w:t>
      </w:r>
      <w:r>
        <w:tab/>
        <w:t>] ([</w:t>
      </w:r>
      <w:r>
        <w:tab/>
        <w:t>]%) of the total purchase price therefor or (ii) a liquidated damages payment by Seller in an amount equal to or greater than [</w:t>
      </w:r>
      <w:r>
        <w:tab/>
        <w:t>] ([</w:t>
      </w:r>
      <w:r>
        <w:tab/>
        <w:t>]%) of the total purchase price therefor in the event of an early termination or cancelation of such binding written contract by Seller or Affiliate. If such binding written contract is secured by (A) a letter of credit, (B) a parent guaranty from an Affiliate of Seller, or (C) any similar instrument, Seller shall provide or cause its Affiliate to promptly provide evidence of such security to PSE.</w:t>
      </w:r>
    </w:p>
    <w:p>
      <w:pPr>
        <w:ind w:left="630" w:firstLine="0"/>
      </w:pPr>
      <w:r>
        <w:t>“</w:t>
      </w:r>
      <w:r>
        <w:rPr>
          <w:u w:val="single"/>
        </w:rPr>
        <w:t>Maximum Capacity Factor</w:t>
      </w:r>
      <w:r>
        <w:t>” means (a) [</w:t>
      </w:r>
      <w:r>
        <w:tab/>
        <w:t>] ([</w:t>
      </w:r>
      <w:r>
        <w:tab/>
        <w:t>]%) for a fixed tilt Facility, or (ii) [</w:t>
      </w:r>
      <w:r>
        <w:tab/>
        <w:t>] ([</w:t>
      </w:r>
      <w:r>
        <w:tab/>
        <w:t>]%) for a tracking Facility.</w:t>
      </w:r>
    </w:p>
    <w:p>
      <w:pPr>
        <w:ind w:left="630" w:firstLine="0"/>
      </w:pPr>
      <w:r>
        <w:t>“</w:t>
      </w:r>
      <w:r>
        <w:rPr>
          <w:u w:val="single"/>
        </w:rPr>
        <w:t>Milestone</w:t>
      </w:r>
      <w:r>
        <w:t>” means each milestone and corresponding date set forth in Section 4 of Appendix A.</w:t>
      </w:r>
    </w:p>
    <w:p>
      <w:pPr>
        <w:ind w:left="630" w:firstLine="0"/>
      </w:pPr>
      <w:r>
        <w:t>“</w:t>
      </w:r>
      <w:r>
        <w:rPr>
          <w:u w:val="single"/>
        </w:rPr>
        <w:t>Minimum Capacity Factor</w:t>
      </w:r>
      <w:r>
        <w:t>” means (a) [</w:t>
      </w:r>
      <w:r>
        <w:tab/>
        <w:t>] ([</w:t>
      </w:r>
      <w:r>
        <w:tab/>
        <w:t>]%) for a fixed tilt Facility, or (b) [</w:t>
      </w:r>
      <w:r>
        <w:tab/>
        <w:t>] ([</w:t>
      </w:r>
      <w:r>
        <w:tab/>
        <w:t>]%) for a tracking Facility.</w:t>
      </w:r>
    </w:p>
    <w:p>
      <w:pPr>
        <w:ind w:left="630" w:firstLine="0"/>
      </w:pPr>
      <w:r>
        <w:t>“</w:t>
      </w:r>
      <w:r>
        <w:rPr>
          <w:u w:val="single"/>
        </w:rPr>
        <w:t>Monthly Payment</w:t>
      </w:r>
      <w:r>
        <w:t>” has the meaning assigned in Section 5.</w:t>
      </w:r>
    </w:p>
    <w:p>
      <w:pPr>
        <w:ind w:left="630" w:firstLine="0"/>
      </w:pPr>
      <w:r>
        <w:t>“</w:t>
      </w:r>
      <w:r>
        <w:rPr>
          <w:u w:val="single"/>
        </w:rPr>
        <w:t>Performance Security</w:t>
      </w:r>
      <w:r>
        <w:t xml:space="preserve">” has the meaning assigned in </w:t>
      </w:r>
      <w:r>
        <w:rPr>
          <w:u w:val="single"/>
        </w:rPr>
        <w:fldChar w:fldCharType="begin"/>
      </w:r>
      <w:r>
        <w:rPr>
          <w:u w:val="single"/>
        </w:rPr>
        <w:instrText xml:space="preserve"> REF _docxtools_585 \w \h  </w:instrText>
      </w:r>
      <w:r>
        <w:rPr>
          <w:u w:val="single"/>
        </w:rPr>
      </w:r>
      <w:r>
        <w:rPr>
          <w:u w:val="single"/>
        </w:rPr>
        <w:fldChar w:fldCharType="separate"/>
      </w:r>
      <w:r>
        <w:rPr>
          <w:u w:val="single"/>
        </w:rPr>
        <w:t>Appendix E</w:t>
      </w:r>
      <w:r>
        <w:rPr>
          <w:u w:val="single"/>
        </w:rPr>
        <w:fldChar w:fldCharType="end"/>
      </w:r>
      <w:r>
        <w:t>.</w:t>
      </w:r>
    </w:p>
    <w:p>
      <w:pPr>
        <w:ind w:left="630" w:firstLine="0"/>
      </w:pPr>
      <w:r>
        <w:t>“</w:t>
      </w:r>
      <w:r>
        <w:rPr>
          <w:u w:val="single"/>
        </w:rPr>
        <w:t>Permitted Station Service</w:t>
      </w:r>
      <w:r>
        <w:t xml:space="preserve">” means electricity that is used to serve the electrical requirements of distribution energy resource generation equipment at the Facility on an instantaneous basis when the Facility is generating and includes the step-up transformer losses, line losses, and other electrical </w:t>
      </w:r>
      <w:r>
        <w:lastRenderedPageBreak/>
        <w:t>losses between the Facility and the Point of Interconnection.  Permitted Station Service does not include any electricity required for auxiliary or ancillary equipment at or otherwise supporting the Facility (e.g., heating, lighting, security system, air-conditioning, or business or office equipment needs) or any other loads at the Premises.</w:t>
      </w:r>
    </w:p>
    <w:p>
      <w:pPr>
        <w:ind w:left="630" w:firstLine="0"/>
      </w:pPr>
      <w:r>
        <w:t>“</w:t>
      </w:r>
      <w:r>
        <w:rPr>
          <w:u w:val="single"/>
        </w:rPr>
        <w:t>Person</w:t>
      </w:r>
      <w:r>
        <w:t>” means any natural person, corporation, limited liability company, general partnership, limited partnership, proprietorship, other business organization, trust, union, association or governmental authority.</w:t>
      </w:r>
    </w:p>
    <w:p>
      <w:pPr>
        <w:ind w:left="630" w:firstLine="0"/>
      </w:pPr>
      <w:r>
        <w:t>“</w:t>
      </w:r>
      <w:r>
        <w:rPr>
          <w:u w:val="single"/>
        </w:rPr>
        <w:t>Point of Interconnection</w:t>
      </w:r>
      <w:r>
        <w:t>” means the unique physical point at which the Facility is interconnected to the PSE Distribution Circuit, in accordance with the Interconnection Agreement, where Seller delivers Energy and PSE purchases Energy generated from the Facility pursuant to this PPA.</w:t>
      </w:r>
    </w:p>
    <w:p>
      <w:pPr>
        <w:ind w:left="630" w:firstLine="0"/>
      </w:pPr>
      <w:r>
        <w:t>“</w:t>
      </w:r>
      <w:r>
        <w:rPr>
          <w:u w:val="single"/>
        </w:rPr>
        <w:t>Premises</w:t>
      </w:r>
      <w:r>
        <w:t>” means a building, structure, or facility to which electricity is being furnished and the tract of land on which the same is located, provided that two or more buildings, structures or facilities that are located on one tract or contiguous tracts of land and are utilized by one electric consumer will together constitute one Premises; provided, however, that any such building, structure, or facility will not, together with any other building, structure, or facility, constitute one Premises if the permanent service to it is separately metered and the charges for such service are calculated independently of charges for service to any other building, structure, or facility; provided, further, that any outdoor security light, or any outdoor sign requirement less than 2200 watts, will not constitute a Premises.  The Premises where the Site for the Facility is located is identified in Section 2 of Appendix A.</w:t>
      </w:r>
    </w:p>
    <w:p>
      <w:pPr>
        <w:ind w:left="630" w:firstLine="0"/>
      </w:pPr>
      <w:r>
        <w:t>“</w:t>
      </w:r>
      <w:r>
        <w:rPr>
          <w:u w:val="single"/>
        </w:rPr>
        <w:t>Project Permits</w:t>
      </w:r>
      <w:r>
        <w:t xml:space="preserve">” has the meaning assigned in </w:t>
      </w:r>
      <w:r>
        <w:rPr>
          <w:u w:val="single"/>
        </w:rPr>
        <w:t>Section 3.2</w:t>
      </w:r>
      <w:r>
        <w:t>.</w:t>
      </w:r>
    </w:p>
    <w:p>
      <w:pPr>
        <w:ind w:left="630" w:firstLine="0"/>
      </w:pPr>
      <w:r>
        <w:t>“</w:t>
      </w:r>
      <w:r>
        <w:rPr>
          <w:u w:val="single"/>
        </w:rPr>
        <w:t>Prudent Operating Practices</w:t>
      </w:r>
      <w:r>
        <w:t>” means the practices, methods and standards of professional care, skill and diligence engaged in or approved by a significant portion of the electric generation industry for solar facilities in the U.S. of similar size, type, and design, that, in the exercise of reasonable judgment, in light of the facts known at the time, would have been expected to accomplish results consistent with Applicable Law, reliability, safety, environmental protection and reasonable standards of economy and expedition.</w:t>
      </w:r>
    </w:p>
    <w:p>
      <w:pPr>
        <w:ind w:left="630" w:firstLine="0"/>
      </w:pPr>
      <w:r>
        <w:t>“</w:t>
      </w:r>
      <w:r>
        <w:rPr>
          <w:u w:val="single"/>
        </w:rPr>
        <w:t>PSE Distribution Circuit</w:t>
      </w:r>
      <w:r>
        <w:t>” means a PSE-owned circuit operating at greater than one (1) kV but less than thirty-four and one-half (34.5 kV), excluding facilities, equipment or other devices inside a substation or behind a primary meter.</w:t>
      </w:r>
    </w:p>
    <w:p>
      <w:pPr>
        <w:ind w:left="630" w:firstLine="0"/>
      </w:pPr>
      <w:r>
        <w:t>“</w:t>
      </w:r>
      <w:r>
        <w:rPr>
          <w:u w:val="single"/>
        </w:rPr>
        <w:t>Rating Agencies</w:t>
      </w:r>
      <w:r>
        <w:t>” – means the rating entities of S&amp;P, Moody’s, or Fitch.</w:t>
      </w:r>
    </w:p>
    <w:p>
      <w:pPr>
        <w:ind w:left="630" w:firstLine="0"/>
      </w:pPr>
      <w:r>
        <w:t>“</w:t>
      </w:r>
      <w:r>
        <w:rPr>
          <w:u w:val="single"/>
        </w:rPr>
        <w:t>Registry</w:t>
      </w:r>
      <w:r>
        <w:t xml:space="preserve">” has the meaning assigned in </w:t>
      </w:r>
      <w:r>
        <w:rPr>
          <w:u w:val="single"/>
        </w:rPr>
        <w:t>Section </w:t>
      </w:r>
      <w:r>
        <w:rPr>
          <w:u w:val="single"/>
        </w:rPr>
        <w:fldChar w:fldCharType="begin"/>
      </w:r>
      <w:r>
        <w:rPr>
          <w:u w:val="single"/>
        </w:rPr>
        <w:instrText xml:space="preserve"> REF _Ref145698082 \r \h </w:instrText>
      </w:r>
      <w:r>
        <w:rPr>
          <w:u w:val="single"/>
        </w:rPr>
      </w:r>
      <w:r>
        <w:rPr>
          <w:u w:val="single"/>
        </w:rPr>
        <w:fldChar w:fldCharType="separate"/>
      </w:r>
      <w:r>
        <w:rPr>
          <w:u w:val="single"/>
        </w:rPr>
        <w:t>12.1</w:t>
      </w:r>
      <w:r>
        <w:rPr>
          <w:u w:val="single"/>
        </w:rPr>
        <w:fldChar w:fldCharType="end"/>
      </w:r>
      <w:r>
        <w:t>.</w:t>
      </w:r>
    </w:p>
    <w:p>
      <w:pPr>
        <w:ind w:left="630" w:firstLine="0"/>
      </w:pPr>
      <w:r>
        <w:t>“</w:t>
      </w:r>
      <w:r>
        <w:rPr>
          <w:u w:val="single"/>
        </w:rPr>
        <w:t>Renewable Energy Credits</w:t>
      </w:r>
      <w:r>
        <w:t>” or “</w:t>
      </w:r>
      <w:r>
        <w:rPr>
          <w:u w:val="single"/>
        </w:rPr>
        <w:t>RECs</w:t>
      </w:r>
      <w:r>
        <w:t>” means any and all credits, including any emissions reduction credits, such as CO</w:t>
      </w:r>
      <w:r>
        <w:rPr>
          <w:vertAlign w:val="subscript"/>
        </w:rPr>
        <w:t>2</w:t>
      </w:r>
      <w:r>
        <w:t xml:space="preserve"> emission reduction credits, for renewable energy that could qualify or do qualify for application toward compliance with any local, state, federal or international renewable energy portfolio standard, green pricing program, or other renewable energy or environmental mandate or objective, including, without limitation, the Clean Energy Transformation </w:t>
      </w:r>
      <w:r>
        <w:lastRenderedPageBreak/>
        <w:t>Act and the Energy Independence Act, whether at the Execution Date or at any time during the Term.</w:t>
      </w:r>
    </w:p>
    <w:p>
      <w:pPr>
        <w:ind w:left="630" w:firstLine="0"/>
      </w:pPr>
      <w:r>
        <w:t>“</w:t>
      </w:r>
      <w:r>
        <w:rPr>
          <w:u w:val="single"/>
        </w:rPr>
        <w:t>Replacement Renewable Energy Credits</w:t>
      </w:r>
      <w:r>
        <w:t>” shall mean credits that are tradable in WREGIS, which may include renewable energy credits or certificates, emissions reduction credits, emissions allowances, green tags, or Green-e® products.</w:t>
      </w:r>
    </w:p>
    <w:p>
      <w:pPr>
        <w:ind w:left="630" w:firstLine="0"/>
      </w:pPr>
      <w:r>
        <w:t>“</w:t>
      </w:r>
      <w:r>
        <w:rPr>
          <w:u w:val="single"/>
        </w:rPr>
        <w:t>Required Commercial Operation Date</w:t>
      </w:r>
      <w:r>
        <w:t xml:space="preserve">” has the meaning assigned in </w:t>
      </w:r>
      <w:r>
        <w:fldChar w:fldCharType="begin"/>
      </w:r>
      <w:r>
        <w:instrText xml:space="preserve"> REF _Ref145758152 \n \h </w:instrText>
      </w:r>
      <w:r>
        <w:fldChar w:fldCharType="separate"/>
      </w:r>
      <w:r>
        <w:t>Section 4</w:t>
      </w:r>
      <w:r>
        <w:fldChar w:fldCharType="end"/>
      </w:r>
      <w:r>
        <w:t xml:space="preserve"> of </w:t>
      </w:r>
      <w:r>
        <w:rPr>
          <w:u w:val="single"/>
        </w:rPr>
        <w:fldChar w:fldCharType="begin"/>
      </w:r>
      <w:r>
        <w:rPr>
          <w:u w:val="single"/>
        </w:rPr>
        <w:instrText xml:space="preserve"> REF _docxtools_290 \w \h  </w:instrText>
      </w:r>
      <w:r>
        <w:rPr>
          <w:u w:val="single"/>
        </w:rPr>
      </w:r>
      <w:r>
        <w:rPr>
          <w:u w:val="single"/>
        </w:rPr>
        <w:fldChar w:fldCharType="separate"/>
      </w:r>
      <w:r>
        <w:rPr>
          <w:u w:val="single"/>
        </w:rPr>
        <w:t>Appendix A</w:t>
      </w:r>
      <w:r>
        <w:rPr>
          <w:u w:val="single"/>
        </w:rPr>
        <w:fldChar w:fldCharType="end"/>
      </w:r>
      <w:r>
        <w:t>.</w:t>
      </w:r>
    </w:p>
    <w:p>
      <w:pPr>
        <w:ind w:left="630" w:firstLine="0"/>
      </w:pPr>
      <w:r>
        <w:t>“</w:t>
      </w:r>
      <w:r>
        <w:rPr>
          <w:u w:val="single"/>
        </w:rPr>
        <w:t>Security Account</w:t>
      </w:r>
      <w:r>
        <w:t>” means an account designated by PSE for the benefit of PSE, under the exclusive control of PSE free and clear of all liens (including the lien of any lender) of any Person or entity other than PSE.  Any PSE Security Account must be established and maintained at the expense of Seller and held by a depositary bank acceptable to PSE pursuant to a control agreement in form and substance reasonably acceptable to PSE.</w:t>
      </w:r>
    </w:p>
    <w:p>
      <w:pPr>
        <w:ind w:left="630" w:firstLine="0"/>
      </w:pPr>
      <w:r>
        <w:t>“</w:t>
      </w:r>
      <w:r>
        <w:rPr>
          <w:u w:val="single"/>
        </w:rPr>
        <w:t>Seller Guaranty</w:t>
      </w:r>
      <w:r>
        <w:t xml:space="preserve">” means a guaranty, the form of which is attached as </w:t>
      </w:r>
      <w:r>
        <w:rPr>
          <w:u w:val="single"/>
        </w:rPr>
        <w:fldChar w:fldCharType="begin"/>
      </w:r>
      <w:r>
        <w:rPr>
          <w:u w:val="single"/>
        </w:rPr>
        <w:instrText xml:space="preserve"> REF _docxtools_595 \w \h  </w:instrText>
      </w:r>
      <w:r>
        <w:rPr>
          <w:u w:val="single"/>
        </w:rPr>
      </w:r>
      <w:r>
        <w:rPr>
          <w:u w:val="single"/>
        </w:rPr>
        <w:fldChar w:fldCharType="separate"/>
      </w:r>
      <w:r>
        <w:rPr>
          <w:u w:val="single"/>
        </w:rPr>
        <w:t>Appendix F</w:t>
      </w:r>
      <w:r>
        <w:rPr>
          <w:u w:val="single"/>
        </w:rPr>
        <w:fldChar w:fldCharType="end"/>
      </w:r>
      <w:r>
        <w:t>, from a guarantor who is acceptable to PSE and who is Creditworthy, in PSE’s sole judgment, to secure Seller’s obligations under the guaranty, which provides for payment to PSE upon demand.</w:t>
      </w:r>
    </w:p>
    <w:p>
      <w:pPr>
        <w:ind w:left="630" w:firstLine="0"/>
      </w:pPr>
      <w:r>
        <w:t>“</w:t>
      </w:r>
      <w:r>
        <w:rPr>
          <w:u w:val="single"/>
        </w:rPr>
        <w:t>Site</w:t>
      </w:r>
      <w:r>
        <w:t>” means the physical location at the Premises where the Facility will be or is located.  The Site is identified in Section 2 of Appendix A.</w:t>
      </w:r>
    </w:p>
    <w:p>
      <w:pPr>
        <w:ind w:left="630" w:firstLine="0"/>
      </w:pPr>
      <w:r>
        <w:t>“</w:t>
      </w:r>
      <w:r>
        <w:rPr>
          <w:u w:val="single"/>
        </w:rPr>
        <w:t>Site Control</w:t>
      </w:r>
      <w:r>
        <w:t>” means control of the Site by Seller in one of the following forms:  (a) Seller owns the Site (evidenced by a deed recorded in the county property records); or (b) Seller leases the Site (pursuant to a current binding written agreement between Seller and the owner or lessor of the Site); or (c) Seller holds a current binding easement or license at the Site that grants Seller express rights to construct, install, operate, maintain and repair the Facility at the Site throughout the Term.</w:t>
      </w:r>
    </w:p>
    <w:p>
      <w:pPr>
        <w:ind w:left="630" w:firstLine="0"/>
      </w:pPr>
      <w:r>
        <w:t>“</w:t>
      </w:r>
      <w:r>
        <w:rPr>
          <w:u w:val="single"/>
        </w:rPr>
        <w:t>Solar Output</w:t>
      </w:r>
      <w:r>
        <w:t>” means the Energy and all other Attributes produced by and associated with the Facility.</w:t>
      </w:r>
    </w:p>
    <w:p>
      <w:pPr>
        <w:ind w:left="630" w:firstLine="0"/>
      </w:pPr>
      <w:r>
        <w:t>“</w:t>
      </w:r>
      <w:r>
        <w:rPr>
          <w:u w:val="single"/>
        </w:rPr>
        <w:t>System Curtailment Order</w:t>
      </w:r>
      <w:r>
        <w:t>” shall mean an instruction from a transmission or distribution provider or any other entity having authority, now or in the future, over the transmission or distribution system (e.g., a reliability coordinator, balancing authority, independent system operator, distribution operator, etc.) to reduce generation from the Facility for (i) System Emergencies, (ii) outages (planned or unplanned) of any portion of the transmission or distribution system, or (iii) abnormal system conditions.</w:t>
      </w:r>
    </w:p>
    <w:p>
      <w:pPr>
        <w:ind w:left="630" w:firstLine="0"/>
      </w:pPr>
      <w:r>
        <w:t>“</w:t>
      </w:r>
      <w:r>
        <w:rPr>
          <w:u w:val="single"/>
        </w:rPr>
        <w:t>System Emergency</w:t>
      </w:r>
      <w:r>
        <w:t>” shall mean an “Emergency Condition” (as defined in an Open Access Transmission Tariff of a transmission provider).</w:t>
      </w:r>
    </w:p>
    <w:p>
      <w:pPr>
        <w:ind w:left="630" w:firstLine="0"/>
      </w:pPr>
      <w:r>
        <w:t>“</w:t>
      </w:r>
      <w:r>
        <w:rPr>
          <w:u w:val="single"/>
        </w:rPr>
        <w:t>Term</w:t>
      </w:r>
      <w:r>
        <w:t xml:space="preserve">” has the meaning assigned in </w:t>
      </w:r>
      <w:r>
        <w:rPr>
          <w:u w:val="single"/>
        </w:rPr>
        <w:t>Section 3.1</w:t>
      </w:r>
      <w:r>
        <w:t>.</w:t>
      </w:r>
    </w:p>
    <w:p>
      <w:pPr>
        <w:ind w:left="630" w:firstLine="0"/>
      </w:pPr>
      <w:r>
        <w:t>“</w:t>
      </w:r>
      <w:r>
        <w:rPr>
          <w:u w:val="single"/>
        </w:rPr>
        <w:t>Termination Liquidated Damages</w:t>
      </w:r>
      <w:r>
        <w:t xml:space="preserve">” has the meaning assigned in </w:t>
      </w:r>
      <w:r>
        <w:rPr>
          <w:u w:val="single"/>
        </w:rPr>
        <w:t>Section </w:t>
      </w:r>
      <w:r>
        <w:rPr>
          <w:u w:val="single"/>
        </w:rPr>
        <w:fldChar w:fldCharType="begin"/>
      </w:r>
      <w:r>
        <w:rPr>
          <w:u w:val="single"/>
        </w:rPr>
        <w:instrText xml:space="preserve"> REF _Ref140340677 \w \h  \* MERGEFORMAT </w:instrText>
      </w:r>
      <w:r>
        <w:rPr>
          <w:u w:val="single"/>
        </w:rPr>
      </w:r>
      <w:r>
        <w:rPr>
          <w:u w:val="single"/>
        </w:rPr>
        <w:fldChar w:fldCharType="separate"/>
      </w:r>
      <w:r>
        <w:rPr>
          <w:u w:val="single"/>
        </w:rPr>
        <w:t>17.2.2</w:t>
      </w:r>
      <w:r>
        <w:rPr>
          <w:u w:val="single"/>
        </w:rPr>
        <w:fldChar w:fldCharType="end"/>
      </w:r>
      <w:r>
        <w:t>.</w:t>
      </w:r>
    </w:p>
    <w:p>
      <w:pPr>
        <w:pStyle w:val="BodyTextFirstIndent"/>
        <w:ind w:left="630" w:firstLine="0"/>
        <w:rPr>
          <w:sz w:val="22"/>
          <w:szCs w:val="22"/>
        </w:rPr>
      </w:pPr>
      <w:r>
        <w:rPr>
          <w:sz w:val="22"/>
          <w:szCs w:val="22"/>
        </w:rPr>
        <w:t>“</w:t>
      </w:r>
      <w:r>
        <w:rPr>
          <w:sz w:val="22"/>
          <w:szCs w:val="22"/>
          <w:u w:val="single"/>
        </w:rPr>
        <w:t>Washington State and Local Sales and Use Taxes</w:t>
      </w:r>
      <w:r>
        <w:rPr>
          <w:sz w:val="22"/>
          <w:szCs w:val="22"/>
        </w:rPr>
        <w:t xml:space="preserve">” shall mean Washington state and local retail sales and use taxes (including Washington State Retail Sales Taxes) imposed pursuant to RCW 82.08, RCW 82.12 or RCW 82.14, if any, and other substantially similar sales and use taxes imposed </w:t>
      </w:r>
      <w:r>
        <w:rPr>
          <w:sz w:val="22"/>
          <w:szCs w:val="22"/>
        </w:rPr>
        <w:lastRenderedPageBreak/>
        <w:t xml:space="preserve">under Washington state or local law (including, by reason of a change in Applicable Law) which, for purposes of clarity, the Parties specifically agree shall not include any business and occupation taxes.  </w:t>
      </w:r>
    </w:p>
    <w:p>
      <w:pPr>
        <w:ind w:left="630" w:firstLine="0"/>
      </w:pPr>
      <w:r>
        <w:t>“</w:t>
      </w:r>
      <w:r>
        <w:rPr>
          <w:u w:val="single"/>
        </w:rPr>
        <w:t>Witness Testing</w:t>
      </w:r>
      <w:r>
        <w:t>” means all live testing of the Facility while operating in parallel with the electric system.</w:t>
      </w:r>
    </w:p>
    <w:p>
      <w:pPr>
        <w:ind w:left="630" w:firstLine="0"/>
      </w:pPr>
      <w:r>
        <w:t>“</w:t>
      </w:r>
      <w:r>
        <w:rPr>
          <w:u w:val="single"/>
        </w:rPr>
        <w:t>WRAP Program</w:t>
      </w:r>
      <w:r>
        <w:t>” shall mean the Western Resource Adequacy Program administered by the Western Power Pool.</w:t>
      </w:r>
    </w:p>
    <w:p>
      <w:pPr>
        <w:ind w:left="630" w:firstLine="0"/>
      </w:pPr>
      <w:r>
        <w:t>“</w:t>
      </w:r>
      <w:r>
        <w:rPr>
          <w:u w:val="single"/>
        </w:rPr>
        <w:t>WREGIS</w:t>
      </w:r>
      <w:r>
        <w:t>” shall mean the Western Renewable Energy Generation Information System or its successor system(s).</w:t>
      </w:r>
    </w:p>
    <w:p>
      <w:pPr>
        <w:pStyle w:val="N1"/>
        <w:rPr>
          <w:vanish/>
          <w:color w:val="FF0000"/>
          <w:specVanish/>
        </w:rPr>
      </w:pPr>
      <w:bookmarkStart w:id="25" w:name="_Ref145698153"/>
      <w:bookmarkStart w:id="26" w:name="_Toc145698386"/>
      <w:bookmarkStart w:id="27" w:name="_Toc145698445"/>
      <w:bookmarkStart w:id="28" w:name="_Toc166243842"/>
      <w:bookmarkStart w:id="29" w:name="_Ref140340947"/>
      <w:r>
        <w:t>Description of Facility</w:t>
      </w:r>
      <w:bookmarkEnd w:id="25"/>
      <w:bookmarkEnd w:id="26"/>
      <w:bookmarkEnd w:id="27"/>
      <w:bookmarkEnd w:id="28"/>
    </w:p>
    <w:p>
      <w:r>
        <w:t xml:space="preserve">.  The Facility is, or will be, owned by Seller.  The Facility must conform to the description set forth in </w:t>
      </w:r>
      <w:r>
        <w:fldChar w:fldCharType="begin"/>
      </w:r>
      <w:r>
        <w:instrText xml:space="preserve"> REF _docxtools_313 \n \h </w:instrText>
      </w:r>
      <w:r>
        <w:fldChar w:fldCharType="separate"/>
      </w:r>
      <w:r>
        <w:t>Section 2</w:t>
      </w:r>
      <w:r>
        <w:fldChar w:fldCharType="end"/>
      </w:r>
      <w:r>
        <w:t xml:space="preserve"> of </w:t>
      </w:r>
      <w:r>
        <w:rPr>
          <w:u w:val="single"/>
        </w:rPr>
        <w:fldChar w:fldCharType="begin"/>
      </w:r>
      <w:r>
        <w:rPr>
          <w:u w:val="single"/>
        </w:rPr>
        <w:instrText xml:space="preserve"> REF _docxtools_290 \w \h  </w:instrText>
      </w:r>
      <w:r>
        <w:rPr>
          <w:u w:val="single"/>
        </w:rPr>
      </w:r>
      <w:r>
        <w:rPr>
          <w:u w:val="single"/>
        </w:rPr>
        <w:fldChar w:fldCharType="separate"/>
      </w:r>
      <w:r>
        <w:rPr>
          <w:u w:val="single"/>
        </w:rPr>
        <w:t>Appendix A</w:t>
      </w:r>
      <w:r>
        <w:rPr>
          <w:u w:val="single"/>
        </w:rPr>
        <w:fldChar w:fldCharType="end"/>
      </w:r>
      <w:r>
        <w:t>.  The Facility must be located on the Site, separately metered, and directly interconnected to a PSE Distribution Circuit.</w:t>
      </w:r>
      <w:bookmarkEnd w:id="29"/>
    </w:p>
    <w:p>
      <w:pPr>
        <w:pStyle w:val="N1"/>
        <w:rPr>
          <w:vanish/>
          <w:specVanish/>
        </w:rPr>
      </w:pPr>
      <w:bookmarkStart w:id="30" w:name="_Toc145698387"/>
      <w:bookmarkStart w:id="31" w:name="_Toc145698446"/>
      <w:bookmarkStart w:id="32" w:name="_Toc166243843"/>
      <w:bookmarkStart w:id="33" w:name="_Ref140340938"/>
      <w:r>
        <w:t>Term; PSE Termination</w:t>
      </w:r>
      <w:bookmarkEnd w:id="30"/>
      <w:bookmarkEnd w:id="31"/>
      <w:bookmarkEnd w:id="32"/>
    </w:p>
    <w:p>
      <w:r>
        <w:t xml:space="preserve">.  </w:t>
      </w:r>
      <w:bookmarkEnd w:id="33"/>
    </w:p>
    <w:p>
      <w:pPr>
        <w:ind w:left="1440" w:hanging="720"/>
      </w:pPr>
      <w:r>
        <w:rPr>
          <w:b/>
        </w:rPr>
        <w:t>3.1</w:t>
      </w:r>
      <w:r>
        <w:tab/>
        <w:t>Subject to the termination provisions set forth in this PPA, this PPA becomes effective on the Execution Date and remains in full force and effect until the last Day of the Delivery Period (such period, the “</w:t>
      </w:r>
      <w:r>
        <w:rPr>
          <w:u w:val="single"/>
        </w:rPr>
        <w:t>Term</w:t>
      </w:r>
      <w:r>
        <w:t xml:space="preserve">”).  </w:t>
      </w:r>
    </w:p>
    <w:p>
      <w:pPr>
        <w:ind w:left="1440" w:hanging="720"/>
      </w:pPr>
      <w:r>
        <w:rPr>
          <w:b/>
          <w:bCs/>
        </w:rPr>
        <w:t>3.2</w:t>
      </w:r>
      <w:r>
        <w:tab/>
        <w:t>Notwithstanding any other provision of this PPA to the contrary, PSE may terminate this PPA for convenience if Seller does not obtain all certifications, permits, licenses, agreements, and approvals necessary to site, construct, interconnect, and operate and maintain the Facility (including, but not limited to, an affirmative final and non-appealable decision by the Governor of Washington through the Energy Facility Site Evaluation Council process) (“</w:t>
      </w:r>
      <w:r>
        <w:rPr>
          <w:u w:val="single"/>
        </w:rPr>
        <w:t>Project Permits</w:t>
      </w:r>
      <w:r>
        <w:t xml:space="preserve">”) by the Construction Start Date, provided that if Seller reasonably demonstrates to PSE’s satisfaction that Seller is diligently pursuing the Project Permits but is unable to obtain any Project Permit by the Construction Start Date, PSE will not have the right to terminate this PPA under this Section 3.2 until ninety (90) days after the Construction Start Date.     </w:t>
      </w:r>
    </w:p>
    <w:p>
      <w:pPr>
        <w:pStyle w:val="N1"/>
        <w:rPr>
          <w:vanish/>
          <w:specVanish/>
        </w:rPr>
      </w:pPr>
      <w:bookmarkStart w:id="34" w:name="_Toc145698388"/>
      <w:bookmarkStart w:id="35" w:name="_Toc145698447"/>
      <w:bookmarkStart w:id="36" w:name="_Toc166243844"/>
      <w:r>
        <w:t>Sale and Purchase of Solar Output and Other Attributes</w:t>
      </w:r>
      <w:bookmarkEnd w:id="34"/>
      <w:bookmarkEnd w:id="35"/>
      <w:bookmarkEnd w:id="36"/>
    </w:p>
    <w:p>
      <w:r>
        <w:t xml:space="preserve">.  Commencing on the first day after the Commercial Operation Date, subject to the terms and conditions of this PPA (including </w:t>
      </w:r>
      <w:r>
        <w:rPr>
          <w:u w:val="single"/>
        </w:rPr>
        <w:t>Section </w:t>
      </w:r>
      <w:r>
        <w:rPr>
          <w:u w:val="single"/>
        </w:rPr>
        <w:fldChar w:fldCharType="begin"/>
      </w:r>
      <w:r>
        <w:rPr>
          <w:u w:val="single"/>
        </w:rPr>
        <w:instrText xml:space="preserve"> REF _Ref140339394 \w \h  \* MERGEFORMAT </w:instrText>
      </w:r>
      <w:r>
        <w:rPr>
          <w:u w:val="single"/>
        </w:rPr>
      </w:r>
      <w:r>
        <w:rPr>
          <w:u w:val="single"/>
        </w:rPr>
        <w:fldChar w:fldCharType="separate"/>
      </w:r>
      <w:r>
        <w:rPr>
          <w:u w:val="single"/>
        </w:rPr>
        <w:t>0</w:t>
      </w:r>
      <w:r>
        <w:rPr>
          <w:u w:val="single"/>
        </w:rPr>
        <w:fldChar w:fldCharType="end"/>
      </w:r>
      <w:r>
        <w:t>), Seller agrees to sell and deliver, and PSE agrees to purchase and receive, one hundred percent (100%) of the Solar Output generated by and delivered from the Facility, including one hundred percent (100%) of Delivered Energy, and all other Attributes associated with the Facility.  Seller is not entitled to any compensation for Solar Output or any other Attribute prior to Seller’s obtaining Commercial Operation Authorization from PSE, including Energy produced during Facility testing and start-up.</w:t>
      </w:r>
    </w:p>
    <w:p>
      <w:pPr>
        <w:pStyle w:val="N1"/>
        <w:rPr>
          <w:vanish/>
          <w:specVanish/>
        </w:rPr>
      </w:pPr>
      <w:bookmarkStart w:id="37" w:name="_Toc145698389"/>
      <w:bookmarkStart w:id="38" w:name="_Toc145698448"/>
      <w:bookmarkStart w:id="39" w:name="_Ref145758418"/>
      <w:bookmarkStart w:id="40" w:name="_Toc166243845"/>
      <w:r>
        <w:t>Price</w:t>
      </w:r>
      <w:bookmarkEnd w:id="37"/>
      <w:bookmarkEnd w:id="38"/>
      <w:bookmarkEnd w:id="39"/>
      <w:bookmarkEnd w:id="40"/>
    </w:p>
    <w:p>
      <w:r>
        <w:t xml:space="preserve">.  </w:t>
      </w:r>
      <w:bookmarkStart w:id="41" w:name="_Toc145698390"/>
      <w:bookmarkStart w:id="42" w:name="_Toc145698449"/>
      <w:bookmarkStart w:id="43" w:name="_Ref140339480"/>
      <w:r>
        <w:t xml:space="preserve">Pursuant to the Price Schedule shown in </w:t>
      </w:r>
      <w:r>
        <w:rPr>
          <w:u w:val="single"/>
        </w:rPr>
        <w:fldChar w:fldCharType="begin"/>
      </w:r>
      <w:r>
        <w:rPr>
          <w:u w:val="single"/>
        </w:rPr>
        <w:instrText xml:space="preserve"> REF _docxtools_437 \w \h  </w:instrText>
      </w:r>
      <w:r>
        <w:rPr>
          <w:u w:val="single"/>
        </w:rPr>
      </w:r>
      <w:r>
        <w:rPr>
          <w:u w:val="single"/>
        </w:rPr>
        <w:fldChar w:fldCharType="separate"/>
      </w:r>
      <w:r>
        <w:rPr>
          <w:u w:val="single"/>
        </w:rPr>
        <w:t>Appendix B</w:t>
      </w:r>
      <w:r>
        <w:rPr>
          <w:u w:val="single"/>
        </w:rPr>
        <w:fldChar w:fldCharType="end"/>
      </w:r>
      <w:r>
        <w:t>, PSE will pay Seller the applicable price per kWh of Delivered Energy (and any Excused Curtailed Energy) for each month during the Delivery Period after Seller obtains Commercial Operation Authorization (such applicable price, the “</w:t>
      </w:r>
      <w:r>
        <w:rPr>
          <w:u w:val="single"/>
        </w:rPr>
        <w:t>Contract Price</w:t>
      </w:r>
      <w:r>
        <w:t>” and such monthly amount as calculated in accordance with the foregoing, the “</w:t>
      </w:r>
      <w:r>
        <w:rPr>
          <w:u w:val="single"/>
        </w:rPr>
        <w:t>Monthly Payment</w:t>
      </w:r>
      <w:r>
        <w:t xml:space="preserve">”) as full compensation for the Facility’s Solar Output, including Delivered </w:t>
      </w:r>
      <w:r>
        <w:lastRenderedPageBreak/>
        <w:t xml:space="preserve">Energy and Environmental Attributes.  While compensation is calculated based on kWh of Delivered Energy, the Parties acknowledge and agree that the Contract Price is fully inclusive of all other Solar Output being purchased by PSE under this Agreement.  In addition to the amounts otherwise payable by PSE in accordance with this </w:t>
      </w:r>
      <w:r>
        <w:rPr>
          <w:u w:val="single"/>
        </w:rPr>
        <w:t>Section </w:t>
      </w:r>
      <w:r>
        <w:rPr>
          <w:u w:val="single"/>
        </w:rPr>
        <w:fldChar w:fldCharType="begin"/>
      </w:r>
      <w:r>
        <w:rPr>
          <w:u w:val="single"/>
        </w:rPr>
        <w:instrText xml:space="preserve"> REF _Ref145758418 \n \h  \* MERGEFORMAT </w:instrText>
      </w:r>
      <w:r>
        <w:rPr>
          <w:u w:val="single"/>
        </w:rPr>
      </w:r>
      <w:r>
        <w:rPr>
          <w:u w:val="single"/>
        </w:rPr>
        <w:fldChar w:fldCharType="separate"/>
      </w:r>
      <w:r>
        <w:rPr>
          <w:u w:val="single"/>
        </w:rPr>
        <w:t>5</w:t>
      </w:r>
      <w:r>
        <w:rPr>
          <w:u w:val="single"/>
        </w:rPr>
        <w:fldChar w:fldCharType="end"/>
      </w:r>
      <w:r>
        <w:t xml:space="preserve">, PSE and Seller agree that the sale of Delivered Energy qualifies for a deduction from Washington public utility tax, and is exempt from, Washington State and Local Sales and Use Taxes and the sale of Attributes is not subject to Washington State and Local Sales and Use Taxes.  In the event the sale of Delivered Energy and/or Attributes becomes subject to Washington State and Local Sales and Use Taxes, PSE shall pay (and shall indemnify and hold Seller harmless on an After-Tax Basis from and against) all Washington State and Local Sales and Use Taxes arising out of or with respect to the purchase or sale of Delivered Energy and/or Attributes that are imposed by any taxing authority at or after the Point of Interconnection (regardless of whether such Washington State and Local Sales and Use Taxes are imposed on PSE or Seller), together with any interest or additions to tax payable with respect to such Washington State and Local Sales and Use Taxes.  Seller shall pay (and shall indemnify and hold PSE harmless on an After-Tax Basis from and against) all other taxes (regardless of whether such other taxes are imposed on PSE or Seller) arising out of or with respect to the purchase or sale of Delivered Energy and/or Attributes that are imposed by any taxing authority prior to the Point of Interconnection, taxes based on or measured by net income, business and occupation taxes, public utility taxes, property taxes, replacement taxes and/or special assessments that may be levied upon the Facility or Site as well as state or local sales taxes applicable to the construction, maintenance, repair or operation of the Facility (including under RCW 82.08.962 and 82.12.962), together with any interest, penalties or additions to tax payable with respect thereto.  </w:t>
      </w:r>
    </w:p>
    <w:p>
      <w:pPr>
        <w:pStyle w:val="N1"/>
      </w:pPr>
      <w:bookmarkStart w:id="44" w:name="_Toc166243846"/>
      <w:bookmarkEnd w:id="41"/>
      <w:bookmarkEnd w:id="42"/>
      <w:r>
        <w:t>Performance Security.</w:t>
      </w:r>
      <w:bookmarkEnd w:id="44"/>
    </w:p>
    <w:p>
      <w:pPr>
        <w:pStyle w:val="N2"/>
      </w:pPr>
      <w:r>
        <w:t xml:space="preserve">If Seller is not Creditworthy, Seller must maintain Performance Security and comply with the provisions of </w:t>
      </w:r>
      <w:r>
        <w:rPr>
          <w:u w:val="single"/>
        </w:rPr>
        <w:fldChar w:fldCharType="begin"/>
      </w:r>
      <w:r>
        <w:rPr>
          <w:u w:val="single"/>
        </w:rPr>
        <w:instrText xml:space="preserve"> REF _docxtools_585 \w \h  </w:instrText>
      </w:r>
      <w:r>
        <w:rPr>
          <w:u w:val="single"/>
        </w:rPr>
      </w:r>
      <w:r>
        <w:rPr>
          <w:u w:val="single"/>
        </w:rPr>
        <w:fldChar w:fldCharType="separate"/>
      </w:r>
      <w:r>
        <w:rPr>
          <w:u w:val="single"/>
        </w:rPr>
        <w:t>Appendix E</w:t>
      </w:r>
      <w:r>
        <w:rPr>
          <w:u w:val="single"/>
        </w:rPr>
        <w:fldChar w:fldCharType="end"/>
      </w:r>
      <w:r>
        <w:t>.</w:t>
      </w:r>
      <w:bookmarkEnd w:id="43"/>
    </w:p>
    <w:p>
      <w:pPr>
        <w:pStyle w:val="N2"/>
      </w:pPr>
      <w:bookmarkStart w:id="45" w:name="_Ref145702870"/>
      <w:r>
        <w:t xml:space="preserve">Seller shall furnish to PSE audited financial statements of Seller or, if a guaranty will be or has been provided by an Affiliate to satisfy the requirements of </w:t>
      </w:r>
      <w:r>
        <w:rPr>
          <w:u w:val="single"/>
        </w:rPr>
        <w:fldChar w:fldCharType="begin"/>
      </w:r>
      <w:r>
        <w:rPr>
          <w:u w:val="single"/>
        </w:rPr>
        <w:instrText xml:space="preserve"> REF _docxtools_585 \w \h  </w:instrText>
      </w:r>
      <w:r>
        <w:rPr>
          <w:u w:val="single"/>
        </w:rPr>
      </w:r>
      <w:r>
        <w:rPr>
          <w:u w:val="single"/>
        </w:rPr>
        <w:fldChar w:fldCharType="separate"/>
      </w:r>
      <w:r>
        <w:rPr>
          <w:u w:val="single"/>
        </w:rPr>
        <w:t>Appendix E</w:t>
      </w:r>
      <w:r>
        <w:rPr>
          <w:u w:val="single"/>
        </w:rPr>
        <w:fldChar w:fldCharType="end"/>
      </w:r>
      <w:r>
        <w:t>, of such Affiliate, as applicable, for PSE’s initial credit review no later than one hundred twenty (120) Days prior to the Construction Start Date and thereafter no later than one hundred twenty (120) Days after the end of each fiscal year during the Term of this PPA; provided, however, that this obligation may be satisfied by the filing of such financial statements on the Securities and Exchange Commission’s EDGAR site as part of Seller’s or such Affiliate’s filing obligations under the Securities Exchange Act of 1934.</w:t>
      </w:r>
      <w:bookmarkEnd w:id="45"/>
      <w:r>
        <w:t xml:space="preserve">  </w:t>
      </w:r>
    </w:p>
    <w:p>
      <w:pPr>
        <w:pStyle w:val="N1"/>
        <w:keepNext/>
        <w:keepLines/>
        <w:rPr>
          <w:vanish/>
          <w:color w:val="FF0000"/>
          <w:specVanish/>
        </w:rPr>
      </w:pPr>
      <w:bookmarkStart w:id="46" w:name="_docxtools_120"/>
      <w:bookmarkStart w:id="47" w:name="_Toc145698391"/>
      <w:bookmarkStart w:id="48" w:name="_Toc145698450"/>
      <w:bookmarkStart w:id="49" w:name="_Toc166243847"/>
      <w:r>
        <w:t>Interconnection and Operations</w:t>
      </w:r>
      <w:bookmarkEnd w:id="46"/>
      <w:bookmarkEnd w:id="47"/>
      <w:bookmarkEnd w:id="48"/>
      <w:bookmarkEnd w:id="49"/>
    </w:p>
    <w:p>
      <w:r>
        <w:t xml:space="preserve">.  </w:t>
      </w:r>
    </w:p>
    <w:p>
      <w:pPr>
        <w:pStyle w:val="N2"/>
      </w:pPr>
      <w:r>
        <w:rPr>
          <w:b/>
        </w:rPr>
        <w:t>Interconnection Agreement</w:t>
      </w:r>
      <w:r>
        <w:t xml:space="preserve">.  </w:t>
      </w:r>
    </w:p>
    <w:p>
      <w:pPr>
        <w:pStyle w:val="N3"/>
      </w:pPr>
      <w:r>
        <w:t>Seller must execute the Interconnection Agreement prior to Construction Start Date.</w:t>
      </w:r>
    </w:p>
    <w:p>
      <w:pPr>
        <w:pStyle w:val="N3"/>
      </w:pPr>
      <w:r>
        <w:tab/>
      </w:r>
    </w:p>
    <w:p>
      <w:pPr>
        <w:pStyle w:val="N2"/>
        <w:numPr>
          <w:ilvl w:val="0"/>
          <w:numId w:val="0"/>
        </w:numPr>
        <w:ind w:left="2160"/>
      </w:pPr>
      <w:r>
        <w:lastRenderedPageBreak/>
        <w:t>(a)</w:t>
      </w:r>
      <w:r>
        <w:tab/>
        <w:t xml:space="preserve">If the Interconnection Costs for which Seller is responsible as identified in the Facilities Study (defined for the purposes of this </w:t>
      </w:r>
      <w:r>
        <w:rPr>
          <w:u w:val="single"/>
        </w:rPr>
        <w:t>Section 7.1.2</w:t>
      </w:r>
      <w:r>
        <w:t xml:space="preserve"> as that certain Facilities Study (forthcoming as of the Execution Date) prepared by PSE as the interconnecting distribution utility for the Facility under PSE’s Washington Utilities and Transportation Commission-approved tariffs and rules) is five percent (5%) greater or less than [</w:t>
      </w:r>
      <w:r>
        <w:tab/>
        <w:t>], the Contract Price will automatically be increased or decreased as applicable by the actual amount by which such Interconnection Costs are greater or less than [</w:t>
      </w:r>
      <w:r>
        <w:tab/>
        <w:t xml:space="preserve">] divided by the number of months in the Delivery Term.  If the Interconnection Costs for which Seller is responsible is one hundred percent or more </w:t>
      </w:r>
      <w:proofErr w:type="gramStart"/>
      <w:r>
        <w:t>greater</w:t>
      </w:r>
      <w:proofErr w:type="gramEnd"/>
      <w:r>
        <w:t xml:space="preserve"> than [</w:t>
      </w:r>
      <w:r>
        <w:tab/>
      </w:r>
      <w:r>
        <w:tab/>
        <w:t xml:space="preserve">], either Party may terminate this PPA without further liability.  </w:t>
      </w:r>
    </w:p>
    <w:p>
      <w:pPr>
        <w:pStyle w:val="N2"/>
        <w:numPr>
          <w:ilvl w:val="0"/>
          <w:numId w:val="0"/>
        </w:numPr>
        <w:ind w:left="2160"/>
      </w:pPr>
      <w:r>
        <w:t>(b)</w:t>
      </w:r>
      <w:r>
        <w:tab/>
        <w:t xml:space="preserve">The Interconnection Limit and Milestones in this PPA will automatically be updated to reflect the Interconnection Limit and applicable Milestones as set forth in the Facilities Study, provided that any such updated applicable Milestone may be reasonably revised by agreement of the Parties and consent (if applicable) by PSE as the interconnecting distribution utility and provided further that any Milestones not set forth in the Facilities Study will be reasonably updated to reflect any changes made to the other Milestones in accordance with the foregoing with due consideration given to the relative positions of each Milestone to the others and the overall schedule.  </w:t>
      </w:r>
    </w:p>
    <w:p>
      <w:pPr>
        <w:pStyle w:val="N2"/>
      </w:pPr>
      <w:bookmarkStart w:id="50" w:name="_Ref140339589"/>
      <w:r>
        <w:rPr>
          <w:b/>
        </w:rPr>
        <w:t>Final Facility Documents</w:t>
      </w:r>
      <w:r>
        <w:t xml:space="preserve">.  Seller must provide the Final Facility Documents to PSE as soon as practicable, but no later than ninety (90) Days prior to the Required Commercial Operation Date.  </w:t>
      </w:r>
      <w:bookmarkEnd w:id="50"/>
    </w:p>
    <w:p>
      <w:pPr>
        <w:pStyle w:val="N2"/>
      </w:pPr>
      <w:r>
        <w:rPr>
          <w:b/>
          <w:bCs/>
        </w:rPr>
        <w:t>Seller Cooperation</w:t>
      </w:r>
      <w:r>
        <w:t xml:space="preserve">.  To assist PSE with any applicable power scheduling regulations and protocols, Seller will:  </w:t>
      </w:r>
    </w:p>
    <w:p>
      <w:pPr>
        <w:pStyle w:val="N3"/>
      </w:pPr>
      <w:r>
        <w:t xml:space="preserve">every Business Day during the Delivery Term provide PSE with a ten (10) Day hourly look ahead, non-binding power forecast, showing (a) the expected production of the Facility in kWh for such period; </w:t>
      </w:r>
    </w:p>
    <w:p>
      <w:pPr>
        <w:pStyle w:val="N3"/>
      </w:pPr>
      <w:r>
        <w:t>provide PSE with real time access to Seller’s Supervisory Control and Data Acquisition historian for Facility performance information reasonably requested by PSE, including, to the extent readily available, information such as data points for solar irradiation, current kWh, number of panels available, number of panels running, and number of panels without communication, and will cooperate in providing PSE with any other reasonably requested information on a real time basis; and</w:t>
      </w:r>
    </w:p>
    <w:p>
      <w:pPr>
        <w:pStyle w:val="N3"/>
      </w:pPr>
      <w:proofErr w:type="gramStart"/>
      <w:r>
        <w:t>utilize</w:t>
      </w:r>
      <w:proofErr w:type="gramEnd"/>
      <w:r>
        <w:t xml:space="preserve"> the forecasting service designated from time to time by PSE, which shall initially be Meteologica forecasting or other forecasting tool mutually agreed upon by the Parties and provide PSE with access and data as reasonably necessary to enable PSE at PSE’s cost to utilize its own separate forecasting service.  </w:t>
      </w:r>
    </w:p>
    <w:p>
      <w:pPr>
        <w:pStyle w:val="N2"/>
        <w:keepNext/>
      </w:pPr>
      <w:r>
        <w:rPr>
          <w:b/>
          <w:bCs/>
        </w:rPr>
        <w:lastRenderedPageBreak/>
        <w:t>Facility Operations and Maintenance; Access</w:t>
      </w:r>
      <w:r>
        <w:t>.</w:t>
      </w:r>
    </w:p>
    <w:p>
      <w:pPr>
        <w:pStyle w:val="N3"/>
      </w:pPr>
      <w:bookmarkStart w:id="51" w:name="_Ref145702895"/>
      <w:r>
        <w:t>During the Term, the Facility shall be operated and maintained by Seller or its designee in accordance with Prudent Operating Practices, Applicable Law, this PPA, and the Interconnection Agreement.  The cost of such operation and maintenance is included in the Contract Price and PSE shall have no responsibility for any such costs under any circumstances whatsoever.  Seller shall obtain all certifications, permits, licenses, insurance and approvals necessary to construct, interconnect, and operate and maintain the Facility and to perform its obligations hereunder.  Seller shall use Prudent Operating Practices to maximize the output of the Facility.  Seller will also maintain maintenance records, which PSE may review upon reasonable request.  Although PSE may review the records and the Facility, PSE has no responsibility, actual or implied, for Facility operation or maintenance under this PPA or otherwise.</w:t>
      </w:r>
      <w:bookmarkEnd w:id="51"/>
      <w:r>
        <w:t xml:space="preserve">  </w:t>
      </w:r>
    </w:p>
    <w:p>
      <w:pPr>
        <w:pStyle w:val="N3"/>
      </w:pPr>
      <w:r>
        <w:t>As soon as reasonably practicable, and in any event no later than ninety (90) Days prior to the expected Commercial Operation Date, Seller shall develop proposed written operating procedures for the Facility and submit such proposed procedures to PSE for PSE’s review and approval (as approved by PSE, the “</w:t>
      </w:r>
      <w:r>
        <w:rPr>
          <w:u w:val="single"/>
        </w:rPr>
        <w:t>Operating Procedures</w:t>
      </w:r>
      <w:r>
        <w:t xml:space="preserve">”).  PSE shall have forty-five (45) Days from the date it receives the proposed Operating Procedures to review and provide comments to Seller.  Seller shall incorporate all of PSE’s reasonable comments into the final Operating Procedures, which shall be subject to approval by PSE.  The final Operating Procedures may be amended from time to time by using the foregoing procedures.  The Parties agree that the Operating Procedures will cover the protocol under which the Parties will perform their respective obligations under this PPA and will include, but will not be limited to, procedures concerning the following:  (i) the method of day-to-day communications and reporting; (ii) key personnel lists for Seller and PSE; (iii) reasonable coordination regarding the timing of scheduled maintenance and planned outages; (iv) reporting of scheduled maintenance, planned outages and forced outages of the Facility, (v) reporting of curtailment periods; and (vi) ongoing reporting of projected capacity reductions due to planned outages, forced outages and any other curtailments reasonably foreseeable by Seller.  </w:t>
      </w:r>
    </w:p>
    <w:p>
      <w:pPr>
        <w:pStyle w:val="N3"/>
      </w:pPr>
      <w:r>
        <w:t>Seller may remove equipment from service availability for a planned inspection, maintenance, and/or general overhaul of one more pieces of equipment or equipment groups that is scheduled in advanced (“</w:t>
      </w:r>
      <w:r>
        <w:rPr>
          <w:u w:val="single"/>
        </w:rPr>
        <w:t>Planned Outage</w:t>
      </w:r>
      <w:r>
        <w:t xml:space="preserve">”), provided that any Planned Outage may not occur in June, July, </w:t>
      </w:r>
      <w:proofErr w:type="gramStart"/>
      <w:r>
        <w:t>August</w:t>
      </w:r>
      <w:proofErr w:type="gramEnd"/>
      <w:r>
        <w:t xml:space="preserve">, December, January, or February except to the extent necessary in accordance with Prudent Operating Practices.  No later than thirty (30) days prior to each Annual Period, Seller will provide to PSE an annual schedule of Planned Outages, such schedule to be reasonably coordinated with PSE, provided that such schedule may be revised during the Annual Period if required by Prudent Operating Practices (but subject to the month restrictions for Planned Outages set forth in the precedent sentence.   For all other maintenance outages, Seller shall notify PSE with as much advance </w:t>
      </w:r>
      <w:r>
        <w:lastRenderedPageBreak/>
        <w:t xml:space="preserve">notice as practicable and will take into account the reasonable requirements of Seller and service obligations of PSE. </w:t>
      </w:r>
    </w:p>
    <w:p>
      <w:pPr>
        <w:pStyle w:val="N3"/>
      </w:pPr>
      <w:r>
        <w:t>PSE and its representatives will have the right of ingress to and egress from the Facility during normal business hours upon reasonable advance notice to Seller and for any purposes reasonably connected with this PPA, including for the purpose of inspecting the Facility, the Site, and/or Seller’s construction, operation and/or maintenance of the Facility; provided that any such visit to the Site shall not unduly interfere with the construction, operation and/or maintenance of the Facility and Seller or Seller’s representative(s) will have the right to accompany PSE.  Notwithstanding the foregoing, nothing in this Agreement will limit PSE’s ability to ingress or and egress from the Facility at any time and unaccompanied in connection with the discharge of its rights, duties, and responsibilities as a regulated public utility.</w:t>
      </w:r>
    </w:p>
    <w:p>
      <w:pPr>
        <w:pStyle w:val="N2"/>
      </w:pPr>
      <w:r>
        <w:rPr>
          <w:b/>
          <w:bCs/>
        </w:rPr>
        <w:t>Interconnection Limit</w:t>
      </w:r>
      <w:r>
        <w:t>.  The Facility output must not exceed the Interconnection Limit at any time during the Term.</w:t>
      </w:r>
    </w:p>
    <w:p>
      <w:pPr>
        <w:pStyle w:val="N2"/>
      </w:pPr>
      <w:r>
        <w:rPr>
          <w:b/>
          <w:bCs/>
        </w:rPr>
        <w:t>Market Design</w:t>
      </w:r>
      <w:r>
        <w:t>.  The obligations of Seller under this PPA to and at the Point of Interconnection and the obligations of PSE under this PPA from and after the Point of Interconnection outlined reflect the electric market structure under which the Facility is expected to operate as of the Commercial Operation Date.  If (i) there are material market structure changes during the Term that prevent Seller and/or PSE from meeting their respective obligations, or (ii) PSE joins a regional transmission organization or independent system operator structure during the Term, the Parties will use good faith efforts to amend this PPA to enable Seller and/or PSE to meet their respective obligations within the new market structure and in a manner that maintains the existing allocation of obligations and benefits between Seller and PSE under this PPA.  If the Parties are unable to reach agreement as to how to amend the PPA under this Section 7.6, then the Parties agree the PPA will remain in effect, provided that nothing herein will be applied or interpreted to preclude PSE from joining a regional transmission organization or independent system operator structure.</w:t>
      </w:r>
    </w:p>
    <w:p>
      <w:pPr>
        <w:pStyle w:val="N2"/>
      </w:pPr>
      <w:r>
        <w:rPr>
          <w:b/>
          <w:bCs/>
        </w:rPr>
        <w:t>Decommissioning</w:t>
      </w:r>
      <w:r>
        <w:t>.  At the end of the Term or upon earlier termination of this PPA, the installed components of the Facility will be removed, reused, disposed of, and recycled, where possible, by Seller.  The Site will be restored by Seller to a state similar to its preconstruction condition.  All removal of equipment will be done in accordance with any Applicable Law and manufacturer recommendations.  All costs and governmental approvals for decommissioning will be the responsibility of Seller.</w:t>
      </w:r>
    </w:p>
    <w:p>
      <w:pPr>
        <w:pStyle w:val="N1"/>
        <w:keepNext/>
        <w:keepLines/>
        <w:rPr>
          <w:vanish/>
          <w:color w:val="FF0000"/>
          <w:specVanish/>
        </w:rPr>
      </w:pPr>
      <w:bookmarkStart w:id="52" w:name="_Ref140340753"/>
      <w:bookmarkStart w:id="53" w:name="_Toc145698392"/>
      <w:bookmarkStart w:id="54" w:name="_Toc145698451"/>
      <w:bookmarkStart w:id="55" w:name="_Toc166243848"/>
      <w:r>
        <w:t>Metering</w:t>
      </w:r>
      <w:bookmarkEnd w:id="52"/>
      <w:bookmarkEnd w:id="53"/>
      <w:bookmarkEnd w:id="54"/>
      <w:bookmarkEnd w:id="55"/>
    </w:p>
    <w:p>
      <w:r>
        <w:t xml:space="preserve">.  </w:t>
      </w:r>
    </w:p>
    <w:p>
      <w:pPr>
        <w:pStyle w:val="N2"/>
      </w:pPr>
      <w:r>
        <w:rPr>
          <w:b/>
        </w:rPr>
        <w:t>Installation and Purchase</w:t>
      </w:r>
      <w:r>
        <w:t xml:space="preserve">.  PSE will install, at Seller’s expense, PSE-owned metering equipment, as determined by PSE to be appropriate for the purchase of the Solar Output and measuring Delivered Energy and in accordance with the Interconnection Agreement.  All Delivered Energy will be measured through such metering equipment.  </w:t>
      </w:r>
    </w:p>
    <w:p>
      <w:pPr>
        <w:pStyle w:val="N2"/>
      </w:pPr>
      <w:r>
        <w:rPr>
          <w:b/>
        </w:rPr>
        <w:lastRenderedPageBreak/>
        <w:t>Meter Adjustment</w:t>
      </w:r>
      <w:r>
        <w:t>.  Neither Seller, nor any of Seller’s Affiliates, nor the employees, contractors, subcontractors, agents or representatives of any of them, will make any adjustment to any metering equipment without the prior written consent of PSE.</w:t>
      </w:r>
    </w:p>
    <w:p>
      <w:pPr>
        <w:pStyle w:val="N2"/>
      </w:pPr>
      <w:r>
        <w:rPr>
          <w:b/>
          <w:bCs/>
        </w:rPr>
        <w:t>Meter Testing</w:t>
      </w:r>
      <w:r>
        <w:t>.  If, upon test, the PSE-owned metering equipment is found to be inaccurate by more than two percent (2%) or if such meters are for any reason out of service or fail to register, then the Parties shall use their best efforts to estimate the correct amounts of Delivered Energy during the periods affected by such inaccuracy, service outage or failure to register by the best available means.  In the event that, as a result of such estimate: (1) the amount of Delivered Energy credited to PSE is decreased, Seller shall reimburse PSE for any overpayment made by PSE, such reimbursement to be in the form of (i) a deduction from the next succeeding payment due Seller under this PPA or (ii) a payment, if no such succeeding payment in an amount exceeding the amount of such overpayment are or shall be due; or (2) the amount of Delivered Energy credited to PSE is increased, PSE shall pay Seller for such increased credit, if any, at the Contract Price.  Notwithstanding the foregoing, if, upon test, PSE-owned metering equipment is found to be inaccurate by not more than two percent (2%), then any previous recordings of such meters shall be deemed accurate.  PSE shall promptly cause meters found to be inaccurate to be adjusted to correct such inaccuracy to the extent practicable.</w:t>
      </w:r>
      <w:r>
        <w:tab/>
      </w:r>
    </w:p>
    <w:p>
      <w:pPr>
        <w:pStyle w:val="N2"/>
      </w:pPr>
      <w:r>
        <w:rPr>
          <w:b/>
          <w:bCs/>
        </w:rPr>
        <w:t>Metering Costs</w:t>
      </w:r>
      <w:r>
        <w:t>.  Seller will reimburse PSE for all costs reasonably incurred by PSE in connection with metering, including (but not limited to), all costs of metering, telemetering, communications lines for remote billing data retrieval, and other equipment to be installed by PSE at the Facility.  Such reimbursement will be made by Seller within thirty (30) Days after Seller’s receipt of PSE’s invoice for such costs.  All metering, telemetering, and other equipment installed by PSE will be and remain PSE’s property, notwithstanding such reimbursement.</w:t>
      </w:r>
    </w:p>
    <w:p>
      <w:pPr>
        <w:pStyle w:val="N1"/>
        <w:keepNext/>
        <w:keepLines/>
        <w:rPr>
          <w:b w:val="0"/>
          <w:vanish/>
          <w:color w:val="FF0000"/>
          <w:specVanish/>
        </w:rPr>
      </w:pPr>
      <w:bookmarkStart w:id="56" w:name="_Toc145698393"/>
      <w:bookmarkStart w:id="57" w:name="_Toc145698452"/>
      <w:bookmarkStart w:id="58" w:name="_Toc166243849"/>
      <w:r>
        <w:t>Obtaining Commercial Operation Authorization</w:t>
      </w:r>
      <w:bookmarkEnd w:id="56"/>
      <w:bookmarkEnd w:id="57"/>
      <w:bookmarkEnd w:id="58"/>
    </w:p>
    <w:p>
      <w:r>
        <w:t xml:space="preserve">.  </w:t>
      </w:r>
    </w:p>
    <w:p>
      <w:pPr>
        <w:pStyle w:val="N2"/>
      </w:pPr>
      <w:bookmarkStart w:id="59" w:name="_Ref140340972"/>
      <w:r>
        <w:rPr>
          <w:b/>
        </w:rPr>
        <w:t>Commercial Operation</w:t>
      </w:r>
      <w:r>
        <w:t xml:space="preserve">.  Seller must achieve Commercial Operation of the Facility by the Required Commercial Operation Date, provided that the Required Commercial Operation Date will be extended day for day for up to one hundred and eighty (180) days in the aggregate due to delay caused by: (a) a Force Majeure Event, (b) a delay in interconnection and synchronization of the Facility to the PSE grid, or (c) any material breach of this Agreement by PSE, except in each case of (a) through (c) to the extent attributable to Seller’s action or inaction, including (without limitation) breach of this agreement, willful misconduct, negligence, or Seller's failure to take commercially reasonable actions in accordance with Prudent Operating Practices.  Seller and the Licensed Professional Engineer must complete and submit the Commercial Operation Certificate attached hereto as </w:t>
      </w:r>
      <w:r>
        <w:rPr>
          <w:u w:val="single"/>
        </w:rPr>
        <w:t>Appendix C</w:t>
      </w:r>
      <w:r>
        <w:t xml:space="preserve"> to PSE when the Facility has achieved Commercial Operation.  Upon receipt of such notice of Commercial Operation, PSE will have the right, but not the obligation, to inspect the Facility prior to the Commercial Operation Date, and will grant or deny Seller authorization in writing to commence the sale of Solar Output and all other Attributes pursuant to </w:t>
      </w:r>
      <w:r>
        <w:rPr>
          <w:u w:val="single"/>
        </w:rPr>
        <w:t>Section 4</w:t>
      </w:r>
      <w:r>
        <w:t xml:space="preserve"> within seven (7) Business Days upon PSE finding that Seller has satisfied all Commercial Operation obligations and requirements under this PPA and the Interconnection Agreement (“</w:t>
      </w:r>
      <w:r>
        <w:rPr>
          <w:u w:val="single"/>
        </w:rPr>
        <w:t>Commercial Operation Authorization</w:t>
      </w:r>
      <w:r>
        <w:t xml:space="preserve">”).  If Seller has not </w:t>
      </w:r>
      <w:r>
        <w:lastRenderedPageBreak/>
        <w:t xml:space="preserve">actually achieved Commercial Operation, Seller must promptly resolve any issues or deficiencies with respect to Commercial Operation and resubmit the Commercial Operation Certificate.  </w:t>
      </w:r>
      <w:bookmarkEnd w:id="59"/>
    </w:p>
    <w:p>
      <w:pPr>
        <w:pStyle w:val="N2"/>
      </w:pPr>
      <w:bookmarkStart w:id="60" w:name="_Ref140339513"/>
      <w:r>
        <w:rPr>
          <w:b/>
        </w:rPr>
        <w:t>Failure to Achieve Commercial Operation by the Required Commercial Operation Date</w:t>
      </w:r>
      <w:r>
        <w:t xml:space="preserve">.  </w:t>
      </w:r>
      <w:bookmarkEnd w:id="60"/>
      <w:r>
        <w:t xml:space="preserve">If Seller fails to achieve Commercial Operation of the Facility by the Required Commercial Operation Date, Seller must pay Delay Damages to PSE for each Day of delay after the Required Commercial Operation Date (including any partial Day) until the earlier of (a) Commercial Operation of the Facility, (b) the date that Seller notifies PSE that Commercial Operation will not be achieved, or (c) ninety (90) Days after the Required Commercial Operation Date.  If Delay Damages are owed under this </w:t>
      </w:r>
      <w:r>
        <w:rPr>
          <w:u w:val="single"/>
        </w:rPr>
        <w:t>Section 9.2</w:t>
      </w:r>
      <w:r>
        <w:t>, no later than five (5) Business Days after the Required Commercial Operation Date, Seller must provide Eligible Collateral to PSE in the amount equal to the lesser of [</w:t>
      </w:r>
      <w:r>
        <w:tab/>
        <w:t>] per kW ($[</w:t>
      </w:r>
      <w:r>
        <w:tab/>
        <w:t>]/kW) and [</w:t>
      </w:r>
      <w:r>
        <w:tab/>
        <w:t>] ($[</w:t>
      </w:r>
      <w:r>
        <w:tab/>
        <w:t xml:space="preserve">]), which Eligible Collateral will be in addition to the Performance Security.   PSE will be entitled to draw such Delay Damages from such Eligible Collateral and the Performance Security provided by Seller. PSE will return any undrawn amount of such Eligible Collateral (but not the Performance Security) within ten (10) Days following the earlier of (i) the Commercial Operation Date, and (ii) the date this PPA is terminated by PSE pursuant to </w:t>
      </w:r>
      <w:r>
        <w:rPr>
          <w:u w:val="single"/>
        </w:rPr>
        <w:t>Section 17.2.1</w:t>
      </w:r>
      <w:r>
        <w:t>.</w:t>
      </w:r>
    </w:p>
    <w:p>
      <w:pPr>
        <w:pStyle w:val="N2"/>
      </w:pPr>
      <w:r>
        <w:rPr>
          <w:b/>
        </w:rPr>
        <w:t>Seller Duty to Update</w:t>
      </w:r>
      <w:r>
        <w:t>.  Seller must promptly notify PSE in writing of any issue, event or other development that has impacted, or would reasonably be expected to impact, Seller or the development, construction, or completion of the Facility such that Seller is unlikely to (a) achieve Commercial Operation by the Required Commercial Operation Date, or (b) timely achieve any other Milestone.  Seller’s notification to PSE of any issue, event, other development or change does not alter Seller’s obligations under this PPA.</w:t>
      </w:r>
    </w:p>
    <w:p>
      <w:pPr>
        <w:pStyle w:val="N1"/>
        <w:keepNext/>
        <w:keepLines/>
        <w:rPr>
          <w:b w:val="0"/>
          <w:vanish/>
          <w:color w:val="FF0000"/>
          <w:specVanish/>
        </w:rPr>
      </w:pPr>
      <w:bookmarkStart w:id="61" w:name="_docxtools_150"/>
      <w:bookmarkStart w:id="62" w:name="_Toc145698394"/>
      <w:bookmarkStart w:id="63" w:name="_Toc145698453"/>
      <w:bookmarkStart w:id="64" w:name="_Toc166243850"/>
      <w:r>
        <w:t>Performance Guarantees</w:t>
      </w:r>
      <w:bookmarkEnd w:id="61"/>
      <w:bookmarkEnd w:id="62"/>
      <w:bookmarkEnd w:id="63"/>
      <w:bookmarkEnd w:id="64"/>
    </w:p>
    <w:p>
      <w:pPr>
        <w:rPr>
          <w:b/>
        </w:rPr>
      </w:pPr>
      <w:r>
        <w:rPr>
          <w:bCs/>
        </w:rPr>
        <w:t xml:space="preserve">.  </w:t>
      </w:r>
      <w:r>
        <w:t xml:space="preserve">Seller guarantees that the Facility will satisfy each performance guarantee set forth in </w:t>
      </w:r>
      <w:r>
        <w:rPr>
          <w:u w:val="single"/>
        </w:rPr>
        <w:fldChar w:fldCharType="begin"/>
      </w:r>
      <w:r>
        <w:rPr>
          <w:u w:val="single"/>
        </w:rPr>
        <w:instrText xml:space="preserve"> REF _docxtools_723 \w \h   \* MERGEFORMAT </w:instrText>
      </w:r>
      <w:r>
        <w:rPr>
          <w:u w:val="single"/>
        </w:rPr>
      </w:r>
      <w:r>
        <w:rPr>
          <w:u w:val="single"/>
        </w:rPr>
        <w:fldChar w:fldCharType="separate"/>
      </w:r>
      <w:r>
        <w:rPr>
          <w:u w:val="single"/>
        </w:rPr>
        <w:t>Appendix H</w:t>
      </w:r>
      <w:r>
        <w:rPr>
          <w:u w:val="single"/>
        </w:rPr>
        <w:fldChar w:fldCharType="end"/>
      </w:r>
      <w:r>
        <w:t xml:space="preserve"> (each, a “</w:t>
      </w:r>
      <w:r>
        <w:rPr>
          <w:u w:val="single"/>
        </w:rPr>
        <w:t>Performance Guarantee</w:t>
      </w:r>
      <w:r>
        <w:t xml:space="preserve">”).  </w:t>
      </w:r>
    </w:p>
    <w:p>
      <w:pPr>
        <w:pStyle w:val="N1"/>
        <w:keepNext/>
        <w:keepLines/>
        <w:rPr>
          <w:b w:val="0"/>
          <w:vanish/>
          <w:color w:val="FF0000"/>
          <w:specVanish/>
        </w:rPr>
      </w:pPr>
      <w:bookmarkStart w:id="65" w:name="_Toc145698395"/>
      <w:bookmarkStart w:id="66" w:name="_Toc145698454"/>
      <w:bookmarkStart w:id="67" w:name="_Toc166243851"/>
      <w:r>
        <w:t>Capacity Factor</w:t>
      </w:r>
      <w:bookmarkEnd w:id="65"/>
      <w:bookmarkEnd w:id="66"/>
      <w:bookmarkEnd w:id="67"/>
    </w:p>
    <w:p>
      <w:r>
        <w:t xml:space="preserve">.  </w:t>
      </w:r>
    </w:p>
    <w:p>
      <w:pPr>
        <w:pStyle w:val="N2"/>
      </w:pPr>
      <w:r>
        <w:rPr>
          <w:b/>
        </w:rPr>
        <w:t>Minimum Capacity Factor</w:t>
      </w:r>
      <w:r>
        <w:t xml:space="preserve">.  If the Annual Capacity Factor is less than the Minimum Capacity Factor for any Annual Period, Seller must make necessary adjustments or repairs to the Facility to remedy such deficiency so that the Annual Capacity Factor for the next Annual Period equals or exceeds the Minimum Capacity Factor.  If the Annual Capacity Factor is less than the Minimum Capacity Factor for two (2) consecutive Annual Periods, PSE will have the right to terminate this PPA pursuant to </w:t>
      </w:r>
      <w:r>
        <w:rPr>
          <w:u w:val="single"/>
        </w:rPr>
        <w:t>Section </w:t>
      </w:r>
      <w:r>
        <w:rPr>
          <w:u w:val="single"/>
        </w:rPr>
        <w:fldChar w:fldCharType="begin"/>
      </w:r>
      <w:r>
        <w:rPr>
          <w:u w:val="single"/>
        </w:rPr>
        <w:instrText xml:space="preserve"> REF _Ref140339637 \w \h  \* MERGEFORMAT </w:instrText>
      </w:r>
      <w:r>
        <w:rPr>
          <w:u w:val="single"/>
        </w:rPr>
      </w:r>
      <w:r>
        <w:rPr>
          <w:u w:val="single"/>
        </w:rPr>
        <w:fldChar w:fldCharType="separate"/>
      </w:r>
      <w:r>
        <w:rPr>
          <w:u w:val="single"/>
        </w:rPr>
        <w:t>17.1.2</w:t>
      </w:r>
      <w:r>
        <w:rPr>
          <w:u w:val="single"/>
        </w:rPr>
        <w:fldChar w:fldCharType="end"/>
      </w:r>
      <w:r>
        <w:t>.  For the avoidance of doubt, if Witness Testing is required under the Interconnection Agreement as a result of the Annual Capacity Factor being less than the Minimum Capacity Factor for any Annual Period (including as a result of any adjustments or repairs to the Facility to remedy such deficiency), Seller is responsible for the costs of such Witness Testing as set forth in the Interconnection Agreement.</w:t>
      </w:r>
    </w:p>
    <w:p>
      <w:pPr>
        <w:pStyle w:val="N2"/>
        <w:numPr>
          <w:ilvl w:val="0"/>
          <w:numId w:val="0"/>
        </w:numPr>
        <w:spacing w:line="256" w:lineRule="auto"/>
        <w:ind w:left="1296" w:hanging="846"/>
      </w:pPr>
      <w:bookmarkStart w:id="68" w:name="_Ref140339394"/>
      <w:r>
        <w:rPr>
          <w:b/>
        </w:rPr>
        <w:t>11.2</w:t>
      </w:r>
      <w:r>
        <w:rPr>
          <w:b/>
        </w:rPr>
        <w:tab/>
        <w:t>Maximum Capacity Factor</w:t>
      </w:r>
      <w:r>
        <w:t xml:space="preserve">.  </w:t>
      </w:r>
      <w:bookmarkEnd w:id="68"/>
      <w:r>
        <w:t xml:space="preserve">If the Annual Capacity Factor exceeds the Maximum Capacity Factor for any Annual Period, PSE shall not be responsible for any payment of the Contract Price for any Delivered Energy (or any other Solar Output) produced in excess of </w:t>
      </w:r>
      <w:r>
        <w:lastRenderedPageBreak/>
        <w:t>the Maximum Capacity Factor, unless, within ninety (90) Days following the end of the Annual Period, Seller establishes, in PSE’s reasonable judgment, that the exceedance was not due to a modification of the Facility or Seller’s failure to properly manage the generation output of the Facility during the Annual Period in accordance with Prudent Operating Practices.  PSE is entitled to inspect the Facility if the Annual Capacity Factor exceeds the Maximum Capacity Factor.  For the avoidance of doubt, if Witness Testing is required under the Interconnection Agreement as a result of the Annual Capacity Factor exceeding the Maximum Capacity Factor for any Annual Period, Seller is responsible for the costs of such Witness Testing as set forth in the Interconnection Agreement.</w:t>
      </w:r>
    </w:p>
    <w:p>
      <w:pPr>
        <w:pStyle w:val="N1"/>
        <w:keepNext/>
        <w:keepLines/>
        <w:rPr>
          <w:b w:val="0"/>
          <w:vanish/>
          <w:color w:val="FF0000"/>
          <w:specVanish/>
        </w:rPr>
      </w:pPr>
      <w:bookmarkStart w:id="69" w:name="_Toc145698396"/>
      <w:bookmarkStart w:id="70" w:name="_Toc145698455"/>
      <w:bookmarkStart w:id="71" w:name="_Toc166243852"/>
      <w:r>
        <w:t>Attributes and Incentives</w:t>
      </w:r>
      <w:bookmarkEnd w:id="69"/>
      <w:bookmarkEnd w:id="70"/>
      <w:bookmarkEnd w:id="71"/>
    </w:p>
    <w:p>
      <w:r>
        <w:t xml:space="preserve">.  </w:t>
      </w:r>
    </w:p>
    <w:p>
      <w:pPr>
        <w:pStyle w:val="N2"/>
      </w:pPr>
      <w:bookmarkStart w:id="72" w:name="_Ref145698082"/>
      <w:r>
        <w:rPr>
          <w:b/>
          <w:bCs/>
        </w:rPr>
        <w:t>Risk of Loss and Title Transfer</w:t>
      </w:r>
      <w:r>
        <w:t xml:space="preserve">.  Title to and risk of loss related to Solar Output shall pass and transfer from Seller to PSE at the Point of Interconnection, provided that RECs shall pass and transfer from Seller to PSE in accordance with WREGIS procedures (or procedures of another registry, if applicable under </w:t>
      </w:r>
      <w:r>
        <w:rPr>
          <w:u w:val="single"/>
        </w:rPr>
        <w:t>Section 12.4</w:t>
      </w:r>
      <w:r>
        <w:t>).  Seller warrants that Attributes delivered to PSE are free and clear of all liens, security interests, claims and encumbrances of any kind</w:t>
      </w:r>
      <w:bookmarkEnd w:id="72"/>
      <w:r>
        <w:t xml:space="preserve">.  </w:t>
      </w:r>
    </w:p>
    <w:p>
      <w:pPr>
        <w:pStyle w:val="N2"/>
      </w:pPr>
      <w:r>
        <w:rPr>
          <w:b/>
          <w:bCs/>
        </w:rPr>
        <w:t>Entitlement</w:t>
      </w:r>
      <w:r>
        <w:t xml:space="preserve">.  PSE shall be entitled to, for no additional consideration and without double-counting, all Attributes associated with the Facility and/or Delivered Energy, regardless of the type or form of such Attributes or when such Attributes may come into existence or be acquired by Seller.  </w:t>
      </w:r>
    </w:p>
    <w:p>
      <w:pPr>
        <w:pStyle w:val="N2"/>
      </w:pPr>
      <w:bookmarkStart w:id="73" w:name="_docxtools_158"/>
      <w:r>
        <w:rPr>
          <w:b/>
          <w:bCs/>
        </w:rPr>
        <w:t>Facility Qualification</w:t>
      </w:r>
      <w:r>
        <w:t>.  Seller will use commercially reasonable efforts, including complying with all applicable registration and reporting requirements, and executing any and all documents or instruments reasonably necessary to cause the Facility and/or Delivered Energy to qualify for all applicable Attributes available throughout the Delivery Period of this PPA, at Seller’s cost and expense.  Seller shall make such filings and take such other actions as PSE may from time-to-time reasonably request in order to preserve and maintain the Attributes made available to PSE hereunder in accordance with the applicable standards and to otherwise enable PSE to use, sell and transfer such Attributes in accordance with market standards.</w:t>
      </w:r>
      <w:bookmarkEnd w:id="73"/>
    </w:p>
    <w:p>
      <w:pPr>
        <w:pStyle w:val="N2"/>
      </w:pPr>
      <w:bookmarkStart w:id="74" w:name="_docxtools_159"/>
      <w:r>
        <w:rPr>
          <w:b/>
          <w:bCs/>
        </w:rPr>
        <w:t>Generation Attribute Registration</w:t>
      </w:r>
      <w:r>
        <w:t xml:space="preserve">.  Seller shall, at Seller’s sole cost and expense, take all necessary steps and actions prior to the Commercial Operation Date to allow the Solar Output, including RECs, that will be transferred to PSE pursuant to this PPA to be tracked in WREGIS, to comply with the Green-e® standard for the Facility to be listed as a “CRS Listed Facility” thereunder, and, subject to </w:t>
      </w:r>
      <w:r>
        <w:rPr>
          <w:u w:val="single"/>
        </w:rPr>
        <w:t>Section </w:t>
      </w:r>
      <w:r>
        <w:rPr>
          <w:u w:val="single"/>
        </w:rPr>
        <w:fldChar w:fldCharType="begin"/>
      </w:r>
      <w:r>
        <w:rPr>
          <w:u w:val="single"/>
        </w:rPr>
        <w:instrText xml:space="preserve"> REF _docxtools_158 \w \h \t   \* MERGEFORMAT </w:instrText>
      </w:r>
      <w:r>
        <w:rPr>
          <w:u w:val="single"/>
        </w:rPr>
      </w:r>
      <w:r>
        <w:rPr>
          <w:u w:val="single"/>
        </w:rPr>
        <w:fldChar w:fldCharType="separate"/>
      </w:r>
      <w:r>
        <w:rPr>
          <w:u w:val="single"/>
        </w:rPr>
        <w:t>12.3</w:t>
      </w:r>
      <w:r>
        <w:rPr>
          <w:u w:val="single"/>
        </w:rPr>
        <w:fldChar w:fldCharType="end"/>
      </w:r>
      <w:r>
        <w:t xml:space="preserve">, to register with any other registry for Attributes as may be requested by PSE from time to time.  Seller shall, at Seller’s sole cost and expense, register the Facility as an eligible renewable resource for WREGIS, and, if the Applicable Law then in effect so provides, for any other state reasonably requested by PSE during the Term.  Commencing on the Commercial Operation Date and continuing through the end of the Term, Seller shall, at Seller’s sole cost and expense:  (a) comply with all applicable operating rules and maintain its registration in WREGIS for the Facility to comply with the Green-e® standard for Attributes for the Facility to be listed as a “CRS Listed Facility” (and any other registry included pursuant to this </w:t>
      </w:r>
      <w:r>
        <w:rPr>
          <w:u w:val="single"/>
        </w:rPr>
        <w:t>Section </w:t>
      </w:r>
      <w:r>
        <w:rPr>
          <w:u w:val="single"/>
        </w:rPr>
        <w:fldChar w:fldCharType="begin"/>
      </w:r>
      <w:r>
        <w:rPr>
          <w:u w:val="single"/>
        </w:rPr>
        <w:instrText xml:space="preserve"> REF _docxtools_159 \w \h \t   \* MERGEFORMAT </w:instrText>
      </w:r>
      <w:r>
        <w:rPr>
          <w:u w:val="single"/>
        </w:rPr>
      </w:r>
      <w:r>
        <w:rPr>
          <w:u w:val="single"/>
        </w:rPr>
        <w:fldChar w:fldCharType="separate"/>
      </w:r>
      <w:r>
        <w:rPr>
          <w:u w:val="single"/>
        </w:rPr>
        <w:t>12.4</w:t>
      </w:r>
      <w:r>
        <w:rPr>
          <w:u w:val="single"/>
        </w:rPr>
        <w:fldChar w:fldCharType="end"/>
      </w:r>
      <w:r>
        <w:t xml:space="preserve">) and (b) serve </w:t>
      </w:r>
      <w:r>
        <w:lastRenderedPageBreak/>
        <w:t xml:space="preserve">as the WREGIS Qualified Reporting Entity (or equivalent with respect to any other registry).  Notwithstanding the foregoing, for a Facility with a Facility Size no greater than 1 MW, PSE may accept, in its sole discretion, paper attestations from Seller in a form acceptable to PSE that declare that the RECs transferred by Seller to PSE meet the requirements of this </w:t>
      </w:r>
      <w:r>
        <w:rPr>
          <w:u w:val="single"/>
        </w:rPr>
        <w:t>Section </w:t>
      </w:r>
      <w:r>
        <w:rPr>
          <w:u w:val="single"/>
        </w:rPr>
        <w:fldChar w:fldCharType="begin"/>
      </w:r>
      <w:r>
        <w:rPr>
          <w:u w:val="single"/>
        </w:rPr>
        <w:instrText xml:space="preserve"> REF _docxtools_159 \w \h \t   \* MERGEFORMAT </w:instrText>
      </w:r>
      <w:r>
        <w:rPr>
          <w:u w:val="single"/>
        </w:rPr>
      </w:r>
      <w:r>
        <w:rPr>
          <w:u w:val="single"/>
        </w:rPr>
        <w:fldChar w:fldCharType="separate"/>
      </w:r>
      <w:r>
        <w:rPr>
          <w:u w:val="single"/>
        </w:rPr>
        <w:t>12.4</w:t>
      </w:r>
      <w:r>
        <w:rPr>
          <w:u w:val="single"/>
        </w:rPr>
        <w:fldChar w:fldCharType="end"/>
      </w:r>
      <w:r>
        <w:t xml:space="preserve">.  </w:t>
      </w:r>
      <w:bookmarkEnd w:id="74"/>
    </w:p>
    <w:p>
      <w:pPr>
        <w:pStyle w:val="N2"/>
      </w:pPr>
      <w:bookmarkStart w:id="75" w:name="_docxtools_160"/>
      <w:r>
        <w:rPr>
          <w:b/>
          <w:bCs/>
        </w:rPr>
        <w:t>Delivery</w:t>
      </w:r>
      <w:r>
        <w:t xml:space="preserve">.  Seller shall, at Seller’s sole cost and expense, deliver and convey the Attributes associated with the Delivered Energy to PSE within ten (10) Business Days after the end of the month in which the WREGIS certificates for such Attributes are created.  In the event that during the Delivery Period WREGIS is not available as a means for transferring any of the Attributes to PSE, Seller shall (i) arrange for an alternative mutually acceptable method of assigning to PSE all rights and authority necessary for PSE to register, hold, and manage such Attributes in PSE’s own name and for PSE’s account and (ii) execute and deliver to PSE on a quarterly basis the attestation form attached hereto as </w:t>
      </w:r>
      <w:r>
        <w:rPr>
          <w:u w:val="single"/>
        </w:rPr>
        <w:fldChar w:fldCharType="begin"/>
      </w:r>
      <w:r>
        <w:rPr>
          <w:u w:val="single"/>
        </w:rPr>
        <w:instrText xml:space="preserve"> REF _docxtools_518 \w \h   \* MERGEFORMAT </w:instrText>
      </w:r>
      <w:r>
        <w:rPr>
          <w:u w:val="single"/>
        </w:rPr>
      </w:r>
      <w:r>
        <w:rPr>
          <w:u w:val="single"/>
        </w:rPr>
        <w:fldChar w:fldCharType="separate"/>
      </w:r>
      <w:r>
        <w:rPr>
          <w:u w:val="single"/>
        </w:rPr>
        <w:t>Appendix D</w:t>
      </w:r>
      <w:r>
        <w:rPr>
          <w:u w:val="single"/>
        </w:rPr>
        <w:fldChar w:fldCharType="end"/>
      </w:r>
      <w:r>
        <w:t xml:space="preserve"> (“</w:t>
      </w:r>
      <w:r>
        <w:rPr>
          <w:u w:val="single"/>
        </w:rPr>
        <w:t>Attribute Attestation Form</w:t>
      </w:r>
      <w:r>
        <w:t xml:space="preserve">”) and/or such other documentation as may be required verifying the assignment of the Attributes to PSE pursuant to this PPA.  If Seller fails to deliver Attributes in accordance with this </w:t>
      </w:r>
      <w:r>
        <w:rPr>
          <w:u w:val="single"/>
        </w:rPr>
        <w:t>Section </w:t>
      </w:r>
      <w:r>
        <w:rPr>
          <w:u w:val="single"/>
        </w:rPr>
        <w:fldChar w:fldCharType="begin"/>
      </w:r>
      <w:r>
        <w:rPr>
          <w:u w:val="single"/>
        </w:rPr>
        <w:instrText xml:space="preserve"> REF _docxtools_160 \w \h \t   \* MERGEFORMAT </w:instrText>
      </w:r>
      <w:r>
        <w:rPr>
          <w:u w:val="single"/>
        </w:rPr>
      </w:r>
      <w:r>
        <w:rPr>
          <w:u w:val="single"/>
        </w:rPr>
        <w:fldChar w:fldCharType="separate"/>
      </w:r>
      <w:r>
        <w:rPr>
          <w:u w:val="single"/>
        </w:rPr>
        <w:t>12.5</w:t>
      </w:r>
      <w:r>
        <w:rPr>
          <w:u w:val="single"/>
        </w:rPr>
        <w:fldChar w:fldCharType="end"/>
      </w:r>
      <w:r>
        <w:t xml:space="preserve">, PSE may purchase Replacement Renewable Energy Credits from any third party in such quantities up to Seller’s shortfall and Seller shall reimburse PSE for one hundred percent (100%) of the costs thereof that are supported with reasonable documentation by PSE within fifteen (15) Business Days of notice from PSE of such purchase, provided that such reimbursed costs will subtracted from any Deficiency Payment owned under </w:t>
      </w:r>
      <w:r>
        <w:rPr>
          <w:u w:val="single"/>
        </w:rPr>
        <w:fldChar w:fldCharType="begin"/>
      </w:r>
      <w:r>
        <w:rPr>
          <w:u w:val="single"/>
        </w:rPr>
        <w:instrText xml:space="preserve"> REF _docxtools_723 \w \h   \* MERGEFORMAT </w:instrText>
      </w:r>
      <w:r>
        <w:rPr>
          <w:u w:val="single"/>
        </w:rPr>
      </w:r>
      <w:r>
        <w:rPr>
          <w:u w:val="single"/>
        </w:rPr>
        <w:fldChar w:fldCharType="separate"/>
      </w:r>
      <w:r>
        <w:rPr>
          <w:u w:val="single"/>
        </w:rPr>
        <w:t>Appendix H</w:t>
      </w:r>
      <w:r>
        <w:rPr>
          <w:u w:val="single"/>
        </w:rPr>
        <w:fldChar w:fldCharType="end"/>
      </w:r>
      <w:r>
        <w:t>, and provided further that PSE may pursue other remedies available to it to with respect to Seller’s shortfall to the extent it does not purchase Replacement Renewable Energy Credits.</w:t>
      </w:r>
      <w:bookmarkEnd w:id="75"/>
      <w:r>
        <w:t xml:space="preserve"> </w:t>
      </w:r>
    </w:p>
    <w:p>
      <w:pPr>
        <w:pStyle w:val="N2"/>
      </w:pPr>
      <w:r>
        <w:rPr>
          <w:b/>
          <w:bCs/>
        </w:rPr>
        <w:t>Capacity Attribute Registration</w:t>
      </w:r>
      <w:r>
        <w:t xml:space="preserve">.  Seller shall, at Seller’s sole cost and expense, take all necessary steps and actions prior to the Commercial Operation Date to allow all Facility capacity, to the extent eligible, to comply with the WRAP Program, and, subject to </w:t>
      </w:r>
      <w:r>
        <w:rPr>
          <w:u w:val="single"/>
        </w:rPr>
        <w:t>Section </w:t>
      </w:r>
      <w:r>
        <w:rPr>
          <w:u w:val="single"/>
        </w:rPr>
        <w:fldChar w:fldCharType="begin"/>
      </w:r>
      <w:r>
        <w:rPr>
          <w:u w:val="single"/>
        </w:rPr>
        <w:instrText xml:space="preserve"> REF _docxtools_158 \w \h \t   \* MERGEFORMAT </w:instrText>
      </w:r>
      <w:r>
        <w:rPr>
          <w:u w:val="single"/>
        </w:rPr>
      </w:r>
      <w:r>
        <w:rPr>
          <w:u w:val="single"/>
        </w:rPr>
        <w:fldChar w:fldCharType="separate"/>
      </w:r>
      <w:r>
        <w:rPr>
          <w:u w:val="single"/>
        </w:rPr>
        <w:t>12.3</w:t>
      </w:r>
      <w:r>
        <w:rPr>
          <w:u w:val="single"/>
        </w:rPr>
        <w:fldChar w:fldCharType="end"/>
      </w:r>
      <w:r>
        <w:t>, to register with any other registry for Attributes as may be requested by PSE from time to time.  Commencing on the Commercial Operation Date and continuing through the end of the Term, Seller shall, at Seller’s sole cost and expense, comply with all applicable operating rules and maintain its registration with the WRAP Program.</w:t>
      </w:r>
    </w:p>
    <w:p>
      <w:pPr>
        <w:pStyle w:val="N2"/>
      </w:pPr>
      <w:r>
        <w:rPr>
          <w:b/>
          <w:bCs/>
        </w:rPr>
        <w:t>Change in Law</w:t>
      </w:r>
      <w:r>
        <w:t xml:space="preserve">.  In the event that for any reason Applicable Law prevents Seller from assigning Attributes to PSE notwithstanding the requirements hereof (including any change in Applicable Law), if Seller realizes the monetary value of such Attributes, Seller shall, from time to time, and in any event within thirty (30) Days of actual receipt, pay to PSE the amount that Seller actually receives (net of any costs, taxes or expenses Seller incurs to receive such amounts) as a result of its ownership of the applicable Attributes.  Seller shall use commercially reasonable efforts to maximize the value received by Seller with respect to any such Attributes.  </w:t>
      </w:r>
    </w:p>
    <w:p>
      <w:pPr>
        <w:pStyle w:val="N2"/>
      </w:pPr>
      <w:r>
        <w:rPr>
          <w:b/>
          <w:bCs/>
        </w:rPr>
        <w:t>Reporting and Public Statements</w:t>
      </w:r>
      <w:r>
        <w:t xml:space="preserve">.  Unless required by Applicable Law (in which case Seller shall notify PSE of such requirement a reasonable time prior to compliance therewith), Seller shall not report to any Person that the Attributes belong to any Person other than PSE, and PSE may report under any such program that the Attributes belong to PSE.  Seller shall maintain and make available to PSE all statements and records reasonably required to </w:t>
      </w:r>
      <w:r>
        <w:lastRenderedPageBreak/>
        <w:t>properly document compliance with Seller’s obligations to PSE with respect to the Attributes.</w:t>
      </w:r>
    </w:p>
    <w:p>
      <w:pPr>
        <w:pStyle w:val="N2"/>
      </w:pPr>
      <w:r>
        <w:rPr>
          <w:b/>
          <w:bCs/>
        </w:rPr>
        <w:t>Additional Documents</w:t>
      </w:r>
      <w:r>
        <w:t>.  Seller shall provide such additional documents and instruments as are reasonably requested by PSE to effect or evidence transfer of the Attributes to PSE or its designees.  Each Party shall promptly give to the other Party copies of all documents it submits to any registry or governmental or regulatory authority to effectuate or record any such transfers.</w:t>
      </w:r>
    </w:p>
    <w:p>
      <w:pPr>
        <w:pStyle w:val="N2"/>
      </w:pPr>
      <w:bookmarkStart w:id="76" w:name="_Ref510011090"/>
      <w:bookmarkStart w:id="77" w:name="_Ref117696447"/>
      <w:bookmarkStart w:id="78" w:name="_docxtools_165"/>
      <w:r>
        <w:rPr>
          <w:b/>
          <w:bCs/>
        </w:rPr>
        <w:t>Incentives</w:t>
      </w:r>
      <w:r>
        <w:t xml:space="preserve">.  Seller shall be entitled to all Incentives relating in any way to the Facility.  PSE acknowledges that Seller has the right to sell any Incentives to which it is entitled pursuant to this </w:t>
      </w:r>
      <w:r>
        <w:rPr>
          <w:u w:val="single"/>
        </w:rPr>
        <w:t>Section </w:t>
      </w:r>
      <w:r>
        <w:rPr>
          <w:u w:val="single"/>
        </w:rPr>
        <w:fldChar w:fldCharType="begin"/>
      </w:r>
      <w:r>
        <w:rPr>
          <w:u w:val="single"/>
        </w:rPr>
        <w:instrText xml:space="preserve"> REF _docxtools_165 \w \h \t   \* MERGEFORMAT </w:instrText>
      </w:r>
      <w:r>
        <w:rPr>
          <w:u w:val="single"/>
        </w:rPr>
      </w:r>
      <w:r>
        <w:rPr>
          <w:u w:val="single"/>
        </w:rPr>
        <w:fldChar w:fldCharType="separate"/>
      </w:r>
      <w:r>
        <w:rPr>
          <w:u w:val="single"/>
        </w:rPr>
        <w:t>12.10</w:t>
      </w:r>
      <w:r>
        <w:rPr>
          <w:u w:val="single"/>
        </w:rPr>
        <w:fldChar w:fldCharType="end"/>
      </w:r>
      <w:r>
        <w:t xml:space="preserve"> to any Person other than PSE at any rate and upon any terms and conditions that Seller may determine in its sole discretion without liability to PSE hereunder.  PSE shall have no claim, right or interest in such Incentives or in any amount that Seller realizes from the sale of such Incentives</w:t>
      </w:r>
      <w:bookmarkEnd w:id="76"/>
      <w:r>
        <w:t>.  If a change in Applicable Law occurs after the Execution Date and as a result thereof the value of the expected benefit from any Incentives applicable to the Facility, Seller or any direct or indirect investor therein increases, the Parties agree that both Parties will share equally in the additional benefit therefrom.  Within forty-five (45) Days of the effective date of the change in Applicable Law, Seller shall provide to PSE a good faith estimate of the additional benefit, net of costs, to the Facility, Seller or any direct or indirect investor therein (the “</w:t>
      </w:r>
      <w:r>
        <w:rPr>
          <w:u w:val="single"/>
        </w:rPr>
        <w:t>Incentive Change Benefit</w:t>
      </w:r>
      <w:r>
        <w:t>”).  Seller and PSE shall work together in good faith to mutually agree on a methodology for determining the value of the Incentive Change Benefit and sharing such value on a 50%/50% basis.</w:t>
      </w:r>
      <w:bookmarkEnd w:id="77"/>
      <w:r>
        <w:t xml:space="preserve">  For the purposes of this </w:t>
      </w:r>
      <w:r>
        <w:rPr>
          <w:u w:val="single"/>
        </w:rPr>
        <w:t>Section </w:t>
      </w:r>
      <w:r>
        <w:rPr>
          <w:u w:val="single"/>
        </w:rPr>
        <w:fldChar w:fldCharType="begin"/>
      </w:r>
      <w:r>
        <w:rPr>
          <w:u w:val="single"/>
        </w:rPr>
        <w:instrText xml:space="preserve"> REF _docxtools_165 \w \h \t   \* MERGEFORMAT </w:instrText>
      </w:r>
      <w:r>
        <w:rPr>
          <w:u w:val="single"/>
        </w:rPr>
      </w:r>
      <w:r>
        <w:rPr>
          <w:u w:val="single"/>
        </w:rPr>
        <w:fldChar w:fldCharType="separate"/>
      </w:r>
      <w:r>
        <w:rPr>
          <w:u w:val="single"/>
        </w:rPr>
        <w:t>12.10</w:t>
      </w:r>
      <w:r>
        <w:rPr>
          <w:u w:val="single"/>
        </w:rPr>
        <w:fldChar w:fldCharType="end"/>
      </w:r>
      <w:r>
        <w:t xml:space="preserve"> only, “change in Applicable Law” means (a) any change in or amendment to Applicable Law (including the Internal Revenue Code or another applicable federal income tax statute); (b) any change in, or issuance of, or promulgation of any temporary or final U.S. Treasury regulations promulgated thereunder that would result in any change to the interpretation of Applicable Law (including the Internal Revenue Code or existing U.S. Treasury regulations); (c) any guidance published in the Internal Revenue Bulletin and/or Cumulative Bulletin, notice, announcement, revenue ruling, revenue procedure, technical advice memorandum, examination directive or similar authority issued by the Internal Revenue Service Large Business and International division, or any published advice, advisory, or legal memorandum issued by a governmental authority, that applies, advances or articulates a new or different interpretation or analysis of any provision of Applicable Law, including the Internal Revenue Code and any other applicable federal tax statute or any temporary or final U.S. Treasury regulation promulgated thereunder; or (d) any change in the interpretation of any of the authorities described in clauses (a) through (c) by a decision of the U.S. Tax Court, the U.S. Court of Federal Claims, a U.S. District Court, a U.S. Court of Appeals or the U.S. Supreme Court, that applies, advances or articulates a new or different interpretation or analysis of Applicable Law.</w:t>
      </w:r>
      <w:bookmarkEnd w:id="78"/>
    </w:p>
    <w:p>
      <w:pPr>
        <w:pStyle w:val="N1"/>
        <w:keepNext/>
        <w:keepLines/>
        <w:rPr>
          <w:b w:val="0"/>
          <w:vanish/>
          <w:color w:val="FF0000"/>
          <w:specVanish/>
        </w:rPr>
      </w:pPr>
      <w:bookmarkStart w:id="79" w:name="_Toc145698397"/>
      <w:bookmarkStart w:id="80" w:name="_Toc145698456"/>
      <w:bookmarkStart w:id="81" w:name="_Toc166243853"/>
      <w:r>
        <w:t>Billing; Payment</w:t>
      </w:r>
      <w:bookmarkEnd w:id="79"/>
      <w:bookmarkEnd w:id="80"/>
      <w:bookmarkEnd w:id="81"/>
    </w:p>
    <w:p>
      <w:r>
        <w:t xml:space="preserve">.  </w:t>
      </w:r>
    </w:p>
    <w:p>
      <w:pPr>
        <w:pStyle w:val="N2"/>
        <w:numPr>
          <w:ilvl w:val="1"/>
          <w:numId w:val="4"/>
        </w:numPr>
        <w:spacing w:line="256" w:lineRule="auto"/>
      </w:pPr>
      <w:r>
        <w:rPr>
          <w:b/>
        </w:rPr>
        <w:t>Billing and Payment</w:t>
      </w:r>
      <w:r>
        <w:t xml:space="preserve">.  Following the verification of Delivered Energy </w:t>
      </w:r>
      <w:bookmarkStart w:id="82" w:name="OLE_LINK25"/>
      <w:r>
        <w:t xml:space="preserve">and any Excused Curtailed Energy for a given month during the Delivery Period and calculation of the Monthly Payment in accordance with </w:t>
      </w:r>
      <w:r>
        <w:rPr>
          <w:u w:val="single"/>
        </w:rPr>
        <w:t>Section 5</w:t>
      </w:r>
      <w:r>
        <w:t>, PSE will pay Seller the Monthly Payment for such month</w:t>
      </w:r>
      <w:bookmarkEnd w:id="82"/>
      <w:r>
        <w:t xml:space="preserve">; </w:t>
      </w:r>
      <w:r>
        <w:rPr>
          <w:i/>
        </w:rPr>
        <w:t>provided</w:t>
      </w:r>
      <w:r>
        <w:t xml:space="preserve">, </w:t>
      </w:r>
      <w:r>
        <w:rPr>
          <w:i/>
        </w:rPr>
        <w:t>however</w:t>
      </w:r>
      <w:r>
        <w:t xml:space="preserve">, </w:t>
      </w:r>
      <w:r>
        <w:rPr>
          <w:i/>
        </w:rPr>
        <w:t>that</w:t>
      </w:r>
      <w:r>
        <w:t xml:space="preserve"> the Monthly Payment amount may be applied as a </w:t>
      </w:r>
      <w:r>
        <w:lastRenderedPageBreak/>
        <w:t>credit to Seller’s solar account, with any balance of such credit rolling over monthly up to a maximum cumulative credit balance of five hundred dollars ($500) or a maximum rollover period for a credit balance of twelve (12) consecutive months, whichever occurs first, at which time PSE will pay the credit balance to Seller.  PSE may offset and deduct any amounts Seller owes to PSE against any amounts that PSE owes to Seller.</w:t>
      </w:r>
    </w:p>
    <w:p>
      <w:pPr>
        <w:pStyle w:val="N2"/>
      </w:pPr>
      <w:r>
        <w:rPr>
          <w:b/>
        </w:rPr>
        <w:t>Billing Dispute</w:t>
      </w:r>
      <w:r>
        <w:t>.  Seller and PSE will have twelve (12) months from the date the disputed monthly statement is issued to Seller to question or contest the correctness of any payment or credit.  If no question or contest is raised in writing from either Party to the other during such time period, the correctness of all such charges and credits will be conclusively presumed.</w:t>
      </w:r>
    </w:p>
    <w:p>
      <w:pPr>
        <w:pStyle w:val="N2"/>
      </w:pPr>
      <w:bookmarkStart w:id="83" w:name="_Ref140340497"/>
      <w:r>
        <w:rPr>
          <w:b/>
        </w:rPr>
        <w:t>PSE Seller Account</w:t>
      </w:r>
      <w:r>
        <w:t>.  No later than sixty (60) Days prior to Commercial Operation, Seller must establish an additional PSE Seller Account for the Facility for identification, billing and payment purposes.  Seller must be enrolled in PSE’s paperless billing process.  The Person named as the Seller on the PSE Seller Account for the Facility must be, and remain for the Term, the same Person as the Seller under this PPA and the “Seller” as defined in the Interconnection Agreement.</w:t>
      </w:r>
      <w:bookmarkEnd w:id="83"/>
    </w:p>
    <w:p>
      <w:pPr>
        <w:pStyle w:val="N2"/>
      </w:pPr>
      <w:r>
        <w:rPr>
          <w:b/>
        </w:rPr>
        <w:t>Station Service</w:t>
      </w:r>
      <w:r>
        <w:t xml:space="preserve">.  Except for Permitted Station Service, Seller will purchase from PSE under standard rates all other electricity required to serve electric load at the Premises and the Facility, including any electric load requirements of the Solar System that do not qualify as Permitted Station Service.  </w:t>
      </w:r>
    </w:p>
    <w:p>
      <w:pPr>
        <w:pStyle w:val="N1"/>
        <w:keepNext/>
        <w:keepLines/>
        <w:rPr>
          <w:b w:val="0"/>
          <w:vanish/>
          <w:color w:val="FF0000"/>
          <w:specVanish/>
        </w:rPr>
      </w:pPr>
      <w:bookmarkStart w:id="84" w:name="_Ref140340821"/>
      <w:bookmarkStart w:id="85" w:name="_docxtools_171"/>
      <w:bookmarkStart w:id="86" w:name="_Toc145698398"/>
      <w:bookmarkStart w:id="87" w:name="_Toc145698457"/>
      <w:bookmarkStart w:id="88" w:name="_Toc166243854"/>
      <w:r>
        <w:t>Force Majeure</w:t>
      </w:r>
      <w:bookmarkEnd w:id="84"/>
      <w:bookmarkEnd w:id="85"/>
      <w:bookmarkEnd w:id="86"/>
      <w:bookmarkEnd w:id="87"/>
      <w:bookmarkEnd w:id="88"/>
    </w:p>
    <w:p>
      <w:r>
        <w:t xml:space="preserve">.  </w:t>
      </w:r>
    </w:p>
    <w:p>
      <w:pPr>
        <w:pStyle w:val="N2"/>
      </w:pPr>
      <w:bookmarkStart w:id="89" w:name="_Ref140339494"/>
      <w:r>
        <w:rPr>
          <w:b/>
        </w:rPr>
        <w:t>Force Majeure Event and Performance Suspension</w:t>
      </w:r>
      <w:r>
        <w:t xml:space="preserve">.  Subject to compliance with </w:t>
      </w:r>
      <w:r>
        <w:rPr>
          <w:u w:val="single"/>
        </w:rPr>
        <w:t>Section </w:t>
      </w:r>
      <w:r>
        <w:rPr>
          <w:u w:val="single"/>
        </w:rPr>
        <w:fldChar w:fldCharType="begin"/>
      </w:r>
      <w:r>
        <w:rPr>
          <w:u w:val="single"/>
        </w:rPr>
        <w:instrText xml:space="preserve"> REF _Ref140339759 \w \h  \* MERGEFORMAT </w:instrText>
      </w:r>
      <w:r>
        <w:rPr>
          <w:u w:val="single"/>
        </w:rPr>
      </w:r>
      <w:r>
        <w:rPr>
          <w:u w:val="single"/>
        </w:rPr>
        <w:fldChar w:fldCharType="separate"/>
      </w:r>
      <w:r>
        <w:rPr>
          <w:u w:val="single"/>
        </w:rPr>
        <w:t>14.2</w:t>
      </w:r>
      <w:r>
        <w:rPr>
          <w:u w:val="single"/>
        </w:rPr>
        <w:fldChar w:fldCharType="end"/>
      </w:r>
      <w:r>
        <w:t xml:space="preserve">, the affected Party will be excused from performance of its obligations hereunder, other than payment obligations that accrued prior to the declaration of the Force Majeure Event, and will not be construed to be in default with respect of such obligation to the extent that, and for so long as, the affected Party’s failure to perform such obligations is due to a Force Majeure Event.  For the avoidance of doubt, during such Force Majeure Event, Seller is not excused from payment of monthly metering charges, or any service charges owed pursuant to the applicable electric service tariff.  The suspension of performance due to a Force Majeure Event will be of no greater scope and of no longer duration than is required by such Force Majeure Event.  No Force Majeure Event will extend this PPA beyond the stated Term or excuse Seller from not achieving Commercial Operation of the Facility by the Required Commercial Operation Date beyond what is provided for in </w:t>
      </w:r>
      <w:r>
        <w:rPr>
          <w:u w:val="single"/>
        </w:rPr>
        <w:t>Section 9.1</w:t>
      </w:r>
      <w:r>
        <w:t>.</w:t>
      </w:r>
      <w:bookmarkEnd w:id="89"/>
      <w:r>
        <w:t xml:space="preserve">  </w:t>
      </w:r>
    </w:p>
    <w:p>
      <w:pPr>
        <w:pStyle w:val="N2"/>
      </w:pPr>
      <w:bookmarkStart w:id="90" w:name="_Ref140339759"/>
      <w:r>
        <w:rPr>
          <w:b/>
        </w:rPr>
        <w:t>Mitigation for Force Majeure Event</w:t>
      </w:r>
      <w:r>
        <w:t xml:space="preserve">.  Following the occurrence of a Force Majeure Event, the affected Party must give the other Party written notice thereof as promptly as possible after the affected Party becomes aware of such Force Majeure Event, specifically describing the Force Majeure Event.  The affected Party must remedy its inability to perform as soon as reasonably practicable.  If Seller is the affected Party, when Seller is able to resume performance of its obligations under this PPA, Seller must provide PSE with a written </w:t>
      </w:r>
      <w:r>
        <w:lastRenderedPageBreak/>
        <w:t>confirmation that the Force Majeure Event has been cured and any supporting documentation that may be reasonably requested by PSE.</w:t>
      </w:r>
      <w:bookmarkEnd w:id="90"/>
    </w:p>
    <w:p>
      <w:pPr>
        <w:pStyle w:val="N2"/>
      </w:pPr>
      <w:bookmarkStart w:id="91" w:name="_Ref140339773"/>
      <w:r>
        <w:rPr>
          <w:b/>
        </w:rPr>
        <w:t>Early Termination Resulting from a Force Majeure Event</w:t>
      </w:r>
      <w:r>
        <w:t xml:space="preserve">.  If Seller remains unable to perform its obligations hereunder for more than six (6) months following the initial suspension of performance due to the Force Majeure Event, PSE may terminate this PPA effective upon ten (10) Days’ prior written notice to Seller.  Upon termination of this PPA pursuant to this </w:t>
      </w:r>
      <w:r>
        <w:rPr>
          <w:u w:val="single"/>
        </w:rPr>
        <w:t>Section </w:t>
      </w:r>
      <w:r>
        <w:rPr>
          <w:u w:val="single"/>
        </w:rPr>
        <w:fldChar w:fldCharType="begin"/>
      </w:r>
      <w:r>
        <w:rPr>
          <w:u w:val="single"/>
        </w:rPr>
        <w:instrText xml:space="preserve"> REF _Ref140339773 \w \h  \* MERGEFORMAT </w:instrText>
      </w:r>
      <w:r>
        <w:rPr>
          <w:u w:val="single"/>
        </w:rPr>
      </w:r>
      <w:r>
        <w:rPr>
          <w:u w:val="single"/>
        </w:rPr>
        <w:fldChar w:fldCharType="separate"/>
      </w:r>
      <w:r>
        <w:rPr>
          <w:u w:val="single"/>
        </w:rPr>
        <w:t>14.3</w:t>
      </w:r>
      <w:r>
        <w:rPr>
          <w:u w:val="single"/>
        </w:rPr>
        <w:fldChar w:fldCharType="end"/>
      </w:r>
      <w:r>
        <w:t xml:space="preserve">, the Parties will have no further liability or obligation to each other except as provided in </w:t>
      </w:r>
      <w:r>
        <w:rPr>
          <w:u w:val="single"/>
        </w:rPr>
        <w:t>Section </w:t>
      </w:r>
      <w:r>
        <w:rPr>
          <w:u w:val="single"/>
        </w:rPr>
        <w:fldChar w:fldCharType="begin"/>
      </w:r>
      <w:r>
        <w:rPr>
          <w:u w:val="single"/>
        </w:rPr>
        <w:instrText xml:space="preserve"> REF _docxtools_272 \w \h \t  </w:instrText>
      </w:r>
      <w:r>
        <w:rPr>
          <w:u w:val="single"/>
        </w:rPr>
      </w:r>
      <w:r>
        <w:rPr>
          <w:u w:val="single"/>
        </w:rPr>
        <w:fldChar w:fldCharType="separate"/>
      </w:r>
      <w:r>
        <w:rPr>
          <w:u w:val="single"/>
        </w:rPr>
        <w:t>23.13</w:t>
      </w:r>
      <w:r>
        <w:rPr>
          <w:u w:val="single"/>
        </w:rPr>
        <w:fldChar w:fldCharType="end"/>
      </w:r>
      <w:r>
        <w:t>.</w:t>
      </w:r>
      <w:bookmarkEnd w:id="91"/>
    </w:p>
    <w:p>
      <w:pPr>
        <w:pStyle w:val="N1"/>
        <w:keepNext/>
        <w:keepLines/>
        <w:rPr>
          <w:b w:val="0"/>
          <w:vanish/>
          <w:color w:val="FF0000"/>
          <w:specVanish/>
        </w:rPr>
      </w:pPr>
      <w:bookmarkStart w:id="92" w:name="_Toc145698399"/>
      <w:bookmarkStart w:id="93" w:name="_Toc145698458"/>
      <w:bookmarkStart w:id="94" w:name="_Toc166243855"/>
      <w:r>
        <w:t>Amendment; PPA Assignment; Seller Name Change</w:t>
      </w:r>
      <w:bookmarkEnd w:id="92"/>
      <w:bookmarkEnd w:id="93"/>
      <w:bookmarkEnd w:id="94"/>
    </w:p>
    <w:p>
      <w:r>
        <w:t xml:space="preserve">.  </w:t>
      </w:r>
    </w:p>
    <w:p>
      <w:pPr>
        <w:pStyle w:val="N2"/>
      </w:pPr>
      <w:bookmarkStart w:id="95" w:name="_Ref140339973"/>
      <w:r>
        <w:rPr>
          <w:b/>
        </w:rPr>
        <w:t>Amendments</w:t>
      </w:r>
      <w:r>
        <w:t>.  This PPA may be amended only by a written instrument duly executed by both Parties, each of which has received, if applicable, all approvals of governmental authorities of competent jurisdiction necessary for the effectiveness thereof.  In recognition of PSE’s administrative burden resulting from multiple amendments requested by Seller, Seller agrees that, except for the first amendment, each amendment requested by Seller will be subject to the payment by Seller to PSE of a fee of two thousand five hundred dollars ($2,500), which must be paid by Seller prior to PSE’s execution of the amendment.</w:t>
      </w:r>
      <w:bookmarkEnd w:id="95"/>
    </w:p>
    <w:p>
      <w:pPr>
        <w:pStyle w:val="N2"/>
      </w:pPr>
      <w:bookmarkStart w:id="96" w:name="_Ref140340066"/>
      <w:r>
        <w:rPr>
          <w:b/>
        </w:rPr>
        <w:t>PPA Assignment</w:t>
      </w:r>
      <w:r>
        <w:t xml:space="preserve">.  Seller may not assign this PPA, in whole or in part, except (a) as authorized in </w:t>
      </w:r>
      <w:r>
        <w:rPr>
          <w:u w:val="single"/>
        </w:rPr>
        <w:t>Section </w:t>
      </w:r>
      <w:r>
        <w:rPr>
          <w:u w:val="single"/>
        </w:rPr>
        <w:fldChar w:fldCharType="begin"/>
      </w:r>
      <w:r>
        <w:rPr>
          <w:u w:val="single"/>
        </w:rPr>
        <w:instrText xml:space="preserve"> REF _Ref140339818 \w \h  \* MERGEFORMAT </w:instrText>
      </w:r>
      <w:r>
        <w:rPr>
          <w:u w:val="single"/>
        </w:rPr>
      </w:r>
      <w:r>
        <w:rPr>
          <w:u w:val="single"/>
        </w:rPr>
        <w:fldChar w:fldCharType="separate"/>
      </w:r>
      <w:r>
        <w:rPr>
          <w:u w:val="single"/>
        </w:rPr>
        <w:t>15.4</w:t>
      </w:r>
      <w:r>
        <w:rPr>
          <w:u w:val="single"/>
        </w:rPr>
        <w:fldChar w:fldCharType="end"/>
      </w:r>
      <w:r>
        <w:t xml:space="preserve">, (b) after prior written notice to PSE and receipt of PSE’s written consent, to an entity purchasing Seller or Seller’s business at the Premises that will remain a retail electric customer of PSE at the Premises.  Except for assignments authorized under </w:t>
      </w:r>
      <w:r>
        <w:rPr>
          <w:u w:val="single"/>
        </w:rPr>
        <w:t>Section </w:t>
      </w:r>
      <w:r>
        <w:rPr>
          <w:u w:val="single"/>
        </w:rPr>
        <w:fldChar w:fldCharType="begin"/>
      </w:r>
      <w:r>
        <w:rPr>
          <w:u w:val="single"/>
        </w:rPr>
        <w:instrText xml:space="preserve"> REF _Ref140339818 \w \h  \* MERGEFORMAT </w:instrText>
      </w:r>
      <w:r>
        <w:rPr>
          <w:u w:val="single"/>
        </w:rPr>
      </w:r>
      <w:r>
        <w:rPr>
          <w:u w:val="single"/>
        </w:rPr>
        <w:fldChar w:fldCharType="separate"/>
      </w:r>
      <w:r>
        <w:rPr>
          <w:u w:val="single"/>
        </w:rPr>
        <w:t>15.4</w:t>
      </w:r>
      <w:r>
        <w:rPr>
          <w:u w:val="single"/>
        </w:rPr>
        <w:fldChar w:fldCharType="end"/>
      </w:r>
      <w:r>
        <w:t xml:space="preserve">, Seller and the proposed assignee (proposed new Seller) must comply with </w:t>
      </w:r>
      <w:r>
        <w:rPr>
          <w:u w:val="single"/>
        </w:rPr>
        <w:t>Sections </w:t>
      </w:r>
      <w:r>
        <w:rPr>
          <w:u w:val="single"/>
        </w:rPr>
        <w:fldChar w:fldCharType="begin"/>
      </w:r>
      <w:r>
        <w:rPr>
          <w:u w:val="single"/>
        </w:rPr>
        <w:instrText xml:space="preserve"> REF _Ref140339869 \w \h  \* MERGEFORMAT </w:instrText>
      </w:r>
      <w:r>
        <w:rPr>
          <w:u w:val="single"/>
        </w:rPr>
      </w:r>
      <w:r>
        <w:rPr>
          <w:u w:val="single"/>
        </w:rPr>
        <w:fldChar w:fldCharType="separate"/>
      </w:r>
      <w:r>
        <w:rPr>
          <w:u w:val="single"/>
        </w:rPr>
        <w:t>15.2.1</w:t>
      </w:r>
      <w:r>
        <w:rPr>
          <w:u w:val="single"/>
        </w:rPr>
        <w:fldChar w:fldCharType="end"/>
      </w:r>
      <w:r>
        <w:t xml:space="preserve"> through </w:t>
      </w:r>
      <w:r>
        <w:rPr>
          <w:u w:val="single"/>
        </w:rPr>
        <w:fldChar w:fldCharType="begin"/>
      </w:r>
      <w:r>
        <w:rPr>
          <w:u w:val="single"/>
        </w:rPr>
        <w:instrText xml:space="preserve"> REF _Ref140339887 \w \h  \* MERGEFORMAT </w:instrText>
      </w:r>
      <w:r>
        <w:rPr>
          <w:u w:val="single"/>
        </w:rPr>
      </w:r>
      <w:r>
        <w:rPr>
          <w:u w:val="single"/>
        </w:rPr>
        <w:fldChar w:fldCharType="separate"/>
      </w:r>
      <w:r>
        <w:rPr>
          <w:u w:val="single"/>
        </w:rPr>
        <w:t>15.2.4</w:t>
      </w:r>
      <w:r>
        <w:rPr>
          <w:u w:val="single"/>
        </w:rPr>
        <w:fldChar w:fldCharType="end"/>
      </w:r>
      <w:r>
        <w:t xml:space="preserve"> below as conditions precedent to the effectiveness of any assignment of this PPA.  If Seller or the proposed assignee fails to comply with any of </w:t>
      </w:r>
      <w:r>
        <w:rPr>
          <w:u w:val="single"/>
        </w:rPr>
        <w:t>Sections </w:t>
      </w:r>
      <w:r>
        <w:rPr>
          <w:u w:val="single"/>
        </w:rPr>
        <w:fldChar w:fldCharType="begin"/>
      </w:r>
      <w:r>
        <w:rPr>
          <w:u w:val="single"/>
        </w:rPr>
        <w:instrText xml:space="preserve"> REF _Ref140339869 \w \h  \* MERGEFORMAT </w:instrText>
      </w:r>
      <w:r>
        <w:rPr>
          <w:u w:val="single"/>
        </w:rPr>
      </w:r>
      <w:r>
        <w:rPr>
          <w:u w:val="single"/>
        </w:rPr>
        <w:fldChar w:fldCharType="separate"/>
      </w:r>
      <w:r>
        <w:rPr>
          <w:u w:val="single"/>
        </w:rPr>
        <w:t>15.2.1</w:t>
      </w:r>
      <w:r>
        <w:rPr>
          <w:u w:val="single"/>
        </w:rPr>
        <w:fldChar w:fldCharType="end"/>
      </w:r>
      <w:r>
        <w:t xml:space="preserve"> through </w:t>
      </w:r>
      <w:r>
        <w:rPr>
          <w:u w:val="single"/>
        </w:rPr>
        <w:fldChar w:fldCharType="begin"/>
      </w:r>
      <w:r>
        <w:rPr>
          <w:u w:val="single"/>
        </w:rPr>
        <w:instrText xml:space="preserve"> REF _Ref140339919 \w \h  \* MERGEFORMAT </w:instrText>
      </w:r>
      <w:r>
        <w:rPr>
          <w:u w:val="single"/>
        </w:rPr>
      </w:r>
      <w:r>
        <w:rPr>
          <w:u w:val="single"/>
        </w:rPr>
        <w:fldChar w:fldCharType="separate"/>
      </w:r>
      <w:r>
        <w:rPr>
          <w:u w:val="single"/>
        </w:rPr>
        <w:t>15.2.3</w:t>
      </w:r>
      <w:r>
        <w:rPr>
          <w:u w:val="single"/>
        </w:rPr>
        <w:fldChar w:fldCharType="end"/>
      </w:r>
      <w:r>
        <w:t xml:space="preserve"> below, the attempted assignment of this PPA will be null and void (except for a collateral assignment pursuant to </w:t>
      </w:r>
      <w:r>
        <w:rPr>
          <w:u w:val="single"/>
        </w:rPr>
        <w:t>Section </w:t>
      </w:r>
      <w:r>
        <w:rPr>
          <w:u w:val="single"/>
        </w:rPr>
        <w:fldChar w:fldCharType="begin"/>
      </w:r>
      <w:r>
        <w:rPr>
          <w:u w:val="single"/>
        </w:rPr>
        <w:instrText xml:space="preserve"> REF _Ref140339818 \w \h  \* MERGEFORMAT </w:instrText>
      </w:r>
      <w:r>
        <w:rPr>
          <w:u w:val="single"/>
        </w:rPr>
      </w:r>
      <w:r>
        <w:rPr>
          <w:u w:val="single"/>
        </w:rPr>
        <w:fldChar w:fldCharType="separate"/>
      </w:r>
      <w:r>
        <w:rPr>
          <w:u w:val="single"/>
        </w:rPr>
        <w:t>15.4</w:t>
      </w:r>
      <w:r>
        <w:rPr>
          <w:u w:val="single"/>
        </w:rPr>
        <w:fldChar w:fldCharType="end"/>
      </w:r>
      <w:r>
        <w:t xml:space="preserve">).  Any assignment of this PPA authorized under this </w:t>
      </w:r>
      <w:r>
        <w:rPr>
          <w:u w:val="single"/>
        </w:rPr>
        <w:t>Section 15.1</w:t>
      </w:r>
      <w:r>
        <w:t xml:space="preserve"> will constitute, from and after the effective date of such assignment, an acceptance and assumption by the assignee (new Seller) of all obligations of Seller under this PPA and a release and discharge by PSE of the assignor from such obligations arising after the effective date of such assignment.</w:t>
      </w:r>
      <w:bookmarkEnd w:id="96"/>
    </w:p>
    <w:p>
      <w:pPr>
        <w:pStyle w:val="N3"/>
      </w:pPr>
      <w:bookmarkStart w:id="97" w:name="_Ref140339869"/>
      <w:r>
        <w:t xml:space="preserve">Seller must (a) request PSE’s consent to such assignment by submitting to PSE a draft request for consent consistent with standard industry terms at least twenty (20) Business Days prior to the anticipated effective date of the requested assignment, and (b) receive PSE’s consent to the requested assignment, subject to any revisions or conditions to such consent that PSE may require. </w:t>
      </w:r>
      <w:bookmarkEnd w:id="97"/>
    </w:p>
    <w:p>
      <w:pPr>
        <w:pStyle w:val="N3"/>
      </w:pPr>
      <w:r>
        <w:t xml:space="preserve">If </w:t>
      </w:r>
      <w:r>
        <w:rPr>
          <w:u w:val="single"/>
        </w:rPr>
        <w:fldChar w:fldCharType="begin"/>
      </w:r>
      <w:r>
        <w:rPr>
          <w:u w:val="single"/>
        </w:rPr>
        <w:instrText xml:space="preserve"> REF _docxtools_585 \w \h  </w:instrText>
      </w:r>
      <w:r>
        <w:rPr>
          <w:u w:val="single"/>
        </w:rPr>
      </w:r>
      <w:r>
        <w:rPr>
          <w:u w:val="single"/>
        </w:rPr>
        <w:fldChar w:fldCharType="separate"/>
      </w:r>
      <w:r>
        <w:rPr>
          <w:u w:val="single"/>
        </w:rPr>
        <w:t>Appendix E</w:t>
      </w:r>
      <w:r>
        <w:rPr>
          <w:u w:val="single"/>
        </w:rPr>
        <w:fldChar w:fldCharType="end"/>
      </w:r>
      <w:r>
        <w:t xml:space="preserve"> is applicable, it will be a condition precedent of any assignment of this PPA authorized under this </w:t>
      </w:r>
      <w:r>
        <w:rPr>
          <w:u w:val="single"/>
        </w:rPr>
        <w:t>Section 15.2</w:t>
      </w:r>
      <w:r>
        <w:t xml:space="preserve"> that the assignee (new Seller) maintains Performance Security pursuant to </w:t>
      </w:r>
      <w:r>
        <w:rPr>
          <w:u w:val="single"/>
        </w:rPr>
        <w:fldChar w:fldCharType="begin"/>
      </w:r>
      <w:r>
        <w:rPr>
          <w:u w:val="single"/>
        </w:rPr>
        <w:instrText xml:space="preserve"> REF _docxtools_585 \w \h  </w:instrText>
      </w:r>
      <w:r>
        <w:rPr>
          <w:u w:val="single"/>
        </w:rPr>
      </w:r>
      <w:r>
        <w:rPr>
          <w:u w:val="single"/>
        </w:rPr>
        <w:fldChar w:fldCharType="separate"/>
      </w:r>
      <w:r>
        <w:rPr>
          <w:u w:val="single"/>
        </w:rPr>
        <w:t>Appendix E</w:t>
      </w:r>
      <w:r>
        <w:rPr>
          <w:u w:val="single"/>
        </w:rPr>
        <w:fldChar w:fldCharType="end"/>
      </w:r>
      <w:r>
        <w:t xml:space="preserve"> as of the effective date of the assignment.</w:t>
      </w:r>
    </w:p>
    <w:p>
      <w:pPr>
        <w:pStyle w:val="N3"/>
      </w:pPr>
      <w:bookmarkStart w:id="98" w:name="_Ref140339919"/>
      <w:r>
        <w:t xml:space="preserve">If PSE executes the written consent, the assignee (new Seller) must execute and submit to PSE the notice of assignment (a form of which will be provided in </w:t>
      </w:r>
      <w:r>
        <w:lastRenderedPageBreak/>
        <w:t>conjunction with PSE’s provision of written consent to the assignment), no later than five (5) Business Days after the effective date of the assignment.</w:t>
      </w:r>
      <w:bookmarkEnd w:id="98"/>
    </w:p>
    <w:p>
      <w:pPr>
        <w:pStyle w:val="N3"/>
      </w:pPr>
      <w:bookmarkStart w:id="99" w:name="_Ref140339887"/>
      <w:r>
        <w:t xml:space="preserve">Within five (5) Business Days following the effective date of an assignment of this PPA authorized under this </w:t>
      </w:r>
      <w:r>
        <w:rPr>
          <w:u w:val="single"/>
        </w:rPr>
        <w:t>Section </w:t>
      </w:r>
      <w:r>
        <w:rPr>
          <w:u w:val="single"/>
        </w:rPr>
        <w:fldChar w:fldCharType="begin"/>
      </w:r>
      <w:r>
        <w:rPr>
          <w:u w:val="single"/>
        </w:rPr>
        <w:instrText xml:space="preserve"> REF _Ref140340066 \w \h  \* MERGEFORMAT </w:instrText>
      </w:r>
      <w:r>
        <w:rPr>
          <w:u w:val="single"/>
        </w:rPr>
      </w:r>
      <w:r>
        <w:rPr>
          <w:u w:val="single"/>
        </w:rPr>
        <w:fldChar w:fldCharType="separate"/>
      </w:r>
      <w:r>
        <w:rPr>
          <w:u w:val="single"/>
        </w:rPr>
        <w:t>15.2</w:t>
      </w:r>
      <w:r>
        <w:rPr>
          <w:u w:val="single"/>
        </w:rPr>
        <w:fldChar w:fldCharType="end"/>
      </w:r>
      <w:r>
        <w:t>, the assignee (new Seller) must set up a new PSE Seller Account for the Facility and provide a W-9 for purposes of billing and payment.  Upon establishment of the new PSE Seller Account, such assignee (new Seller) will be enrolled in PSE’s paperless billing process.</w:t>
      </w:r>
      <w:bookmarkEnd w:id="99"/>
    </w:p>
    <w:p>
      <w:pPr>
        <w:pStyle w:val="N2"/>
      </w:pPr>
      <w:r>
        <w:rPr>
          <w:b/>
        </w:rPr>
        <w:t>Seller Name Change</w:t>
      </w:r>
      <w:r>
        <w:t>.  Seller must provide PSE with thirty (30) Days’ prior written notice (the form of which will be available upon request from PSE within five (5) Business Days of receipt of written request) of any change in the name of Seller.  Seller must promptly execute an amendment of this PPA to address such name change.</w:t>
      </w:r>
    </w:p>
    <w:p>
      <w:pPr>
        <w:pStyle w:val="N3"/>
      </w:pPr>
      <w:r>
        <w:t>Within five (5) Business Days following any name change, Seller must (a) provide an updated W-9 to PSE, (b) provide proof of a name change with the Secretary of State’s office, and (c) update its PSE Seller Account with the name change and any other related changes in account information.</w:t>
      </w:r>
    </w:p>
    <w:p>
      <w:pPr>
        <w:pStyle w:val="N3"/>
      </w:pPr>
      <w:r>
        <w:t xml:space="preserve">If </w:t>
      </w:r>
      <w:r>
        <w:rPr>
          <w:u w:val="single"/>
        </w:rPr>
        <w:fldChar w:fldCharType="begin"/>
      </w:r>
      <w:r>
        <w:rPr>
          <w:u w:val="single"/>
        </w:rPr>
        <w:instrText xml:space="preserve"> REF _docxtools_585 \w \h  </w:instrText>
      </w:r>
      <w:r>
        <w:rPr>
          <w:u w:val="single"/>
        </w:rPr>
      </w:r>
      <w:r>
        <w:rPr>
          <w:u w:val="single"/>
        </w:rPr>
        <w:fldChar w:fldCharType="separate"/>
      </w:r>
      <w:r>
        <w:rPr>
          <w:u w:val="single"/>
        </w:rPr>
        <w:t>Appendix E</w:t>
      </w:r>
      <w:r>
        <w:rPr>
          <w:u w:val="single"/>
        </w:rPr>
        <w:fldChar w:fldCharType="end"/>
      </w:r>
      <w:r>
        <w:t xml:space="preserve"> is applicable, Seller must update the Performance Security to reflect the name change, if and as necessary.  Seller must provide proof of any such necessary updates within five (5) Business Days following the name change.</w:t>
      </w:r>
    </w:p>
    <w:p>
      <w:pPr>
        <w:pStyle w:val="N2"/>
      </w:pPr>
      <w:bookmarkStart w:id="100" w:name="_Ref140339818"/>
      <w:r>
        <w:rPr>
          <w:b/>
        </w:rPr>
        <w:t>Financing Assignment</w:t>
      </w:r>
      <w:r>
        <w:t xml:space="preserve">.  Notwithstanding the requirements of </w:t>
      </w:r>
      <w:r>
        <w:rPr>
          <w:u w:val="single"/>
        </w:rPr>
        <w:t>Section </w:t>
      </w:r>
      <w:r>
        <w:rPr>
          <w:u w:val="single"/>
        </w:rPr>
        <w:fldChar w:fldCharType="begin"/>
      </w:r>
      <w:r>
        <w:rPr>
          <w:u w:val="single"/>
        </w:rPr>
        <w:instrText xml:space="preserve"> REF _Ref140339973 \w \h  \* MERGEFORMAT </w:instrText>
      </w:r>
      <w:r>
        <w:rPr>
          <w:u w:val="single"/>
        </w:rPr>
      </w:r>
      <w:r>
        <w:rPr>
          <w:u w:val="single"/>
        </w:rPr>
        <w:fldChar w:fldCharType="separate"/>
      </w:r>
      <w:r>
        <w:rPr>
          <w:u w:val="single"/>
        </w:rPr>
        <w:t>15.1</w:t>
      </w:r>
      <w:r>
        <w:rPr>
          <w:u w:val="single"/>
        </w:rPr>
        <w:fldChar w:fldCharType="end"/>
      </w:r>
      <w:r>
        <w:t xml:space="preserve">, Seller may assign this PPA, without the prior consent of PSE to a financing entity for collateral purposes in connection with any financing or refinancing of the Facility; </w:t>
      </w:r>
      <w:r>
        <w:rPr>
          <w:i/>
        </w:rPr>
        <w:t>provided</w:t>
      </w:r>
      <w:r>
        <w:t xml:space="preserve">, </w:t>
      </w:r>
      <w:r>
        <w:rPr>
          <w:i/>
        </w:rPr>
        <w:t>however</w:t>
      </w:r>
      <w:r>
        <w:t xml:space="preserve">, </w:t>
      </w:r>
      <w:r>
        <w:rPr>
          <w:i/>
        </w:rPr>
        <w:t>that</w:t>
      </w:r>
      <w:r>
        <w:t xml:space="preserve"> any such collateral assignment will not release or discharge Seller from any of its obligations or liabilities under this PPA and will not place any limitation on or otherwise affect PSE’s rights and remedies under this PPA or expand the liabilities, risks or obligations imposed on PSE under this PPA.</w:t>
      </w:r>
      <w:bookmarkEnd w:id="100"/>
    </w:p>
    <w:p>
      <w:pPr>
        <w:pStyle w:val="N1"/>
        <w:keepNext/>
        <w:keepLines/>
        <w:rPr>
          <w:b w:val="0"/>
          <w:vanish/>
          <w:color w:val="FF0000"/>
          <w:specVanish/>
        </w:rPr>
      </w:pPr>
      <w:bookmarkStart w:id="101" w:name="_Toc145698400"/>
      <w:bookmarkStart w:id="102" w:name="_Toc145698459"/>
      <w:bookmarkStart w:id="103" w:name="_Toc166243856"/>
      <w:bookmarkStart w:id="104" w:name="_Ref140340415"/>
      <w:r>
        <w:t>Representations, Warranties and Covenants</w:t>
      </w:r>
      <w:bookmarkEnd w:id="101"/>
      <w:bookmarkEnd w:id="102"/>
      <w:bookmarkEnd w:id="103"/>
    </w:p>
    <w:p>
      <w:r>
        <w:t xml:space="preserve">.  </w:t>
      </w:r>
    </w:p>
    <w:p>
      <w:pPr>
        <w:pStyle w:val="N2"/>
      </w:pPr>
      <w:r>
        <w:rPr>
          <w:b/>
        </w:rPr>
        <w:t>General</w:t>
      </w:r>
      <w:r>
        <w:t>.  Seller makes the following additional representations, warranties or covenants:</w:t>
      </w:r>
      <w:bookmarkEnd w:id="104"/>
    </w:p>
    <w:p>
      <w:pPr>
        <w:pStyle w:val="N3"/>
      </w:pPr>
      <w:r>
        <w:t>Seller is, or will be, the sole [owner of the Facility/lessee of the Facility] throughout the Term.  Seller has the legal power and authority to own its own properties, to carry on its own business as now being conducted and to enter into this PPA and carry out the transactions contemplated hereby and perform and carry out all covenants and obligations on its part to be performed under and pursuant to this PPA.</w:t>
      </w:r>
    </w:p>
    <w:p>
      <w:pPr>
        <w:pStyle w:val="N3"/>
      </w:pPr>
      <w:r>
        <w:t>Seller is qualified to do business in, and is in good standing with the officials of Washington and all other governmental or regulatory authorities with jurisdiction, and, if not a Washington (domestic) entity, it is also organized and in good standing under the laws of the jurisdiction of its organization.</w:t>
      </w:r>
    </w:p>
    <w:p>
      <w:pPr>
        <w:pStyle w:val="N3"/>
      </w:pPr>
      <w:r>
        <w:lastRenderedPageBreak/>
        <w:t>Seller understands its rights and obligations under this PPA, and this PPA is signed on Seller’s behalf by an authorized representative.</w:t>
      </w:r>
    </w:p>
    <w:p>
      <w:pPr>
        <w:pStyle w:val="N3"/>
      </w:pPr>
      <w:r>
        <w:t>Seller can legally enter into and perform its obligations under this PPA, and no third-party permit, consent, filing, or approval is required to make this PPA valid.</w:t>
      </w:r>
    </w:p>
    <w:p>
      <w:pPr>
        <w:pStyle w:val="N3"/>
      </w:pPr>
      <w:r>
        <w:t>Seller represents that the execution and delivery of this PPA does not and will not conflict with or constitute a breach of or a default under any of the terms, conditions or provisions of any other agreement or instrument to which Seller is a party.</w:t>
      </w:r>
    </w:p>
    <w:p>
      <w:pPr>
        <w:pStyle w:val="N3"/>
      </w:pPr>
      <w:r>
        <w:t>No legal action is in progress, pending, or to the best of Seller’s knowledge, threatened that could, individually or in the aggregate, have a material adverse effect on its ability to perform its contractual obligations or on its business or financial condition.</w:t>
      </w:r>
    </w:p>
    <w:p>
      <w:pPr>
        <w:pStyle w:val="N2"/>
      </w:pPr>
      <w:r>
        <w:rPr>
          <w:b/>
        </w:rPr>
        <w:t>Environmental Attributes and Energy</w:t>
      </w:r>
      <w:r>
        <w:t>.  Seller represents, warrants and covenants throughout the Term that:</w:t>
      </w:r>
    </w:p>
    <w:p>
      <w:pPr>
        <w:pStyle w:val="N3"/>
      </w:pPr>
      <w:r>
        <w:t>The Facility qualifies as a “renewable resource” as defined by the Clean Energy Transformation act.</w:t>
      </w:r>
    </w:p>
    <w:p>
      <w:pPr>
        <w:pStyle w:val="N3"/>
      </w:pPr>
      <w:r>
        <w:t>The Facility qualifies as an “eligible renewable resource” as defined by the Energy Independence Act.</w:t>
      </w:r>
    </w:p>
    <w:p>
      <w:pPr>
        <w:pStyle w:val="N3"/>
      </w:pPr>
      <w:r>
        <w:t>Seller agrees to transfer, or cause to be transferred, to PSE good and marketable title to all Environmental Attributes, including, without limitation, any RECs, free and clear of any liens, taxes, claims, security interests and any other encumbrances.</w:t>
      </w:r>
    </w:p>
    <w:p>
      <w:pPr>
        <w:pStyle w:val="N3"/>
      </w:pPr>
      <w:r>
        <w:t>Seller has not sold or transferred any of the Energy or Attributes from the Facility to any other Person.</w:t>
      </w:r>
    </w:p>
    <w:p>
      <w:pPr>
        <w:pStyle w:val="N3"/>
      </w:pPr>
      <w:r>
        <w:t>No Environmental Attributes violate any applicable rule or requirement of any certification authority (whether with respect to voluntary or involuntary certification) pertaining to double counting.</w:t>
      </w:r>
    </w:p>
    <w:p>
      <w:pPr>
        <w:pStyle w:val="N2"/>
      </w:pPr>
      <w:r>
        <w:t>Seller covenants to promptly notify PSE following any determination made by Seller or its independent auditor that Seller constitutes a variable interest entity for which PSE is the primary beneficiary and as a result of this PPA considered individually or together with any other power purchase agreements between Seller and PSE.</w:t>
      </w:r>
    </w:p>
    <w:p>
      <w:pPr>
        <w:pStyle w:val="N2"/>
      </w:pPr>
      <w:r>
        <w:t xml:space="preserve">Seller covenants that as of the Construction Start Date the Site will be adequate for the Facility and will be lawfully zoned for the Facility.  Seller represents that it has Site Control as of the Execution Date and covenants that it will maintain Site Control throughout the Term.  Seller represents that Site Control, as of the Execution Date, is free and clear, and covenants that Site Control will remain free and clear throughout the Term, of any lien, right, contract, or other encumbrance that would prevent, limit, or otherwise impede or impair the </w:t>
      </w:r>
      <w:r>
        <w:lastRenderedPageBreak/>
        <w:t>construction, installation, commissioning, operation, maintenance or repair of the Facility during the Term.</w:t>
      </w:r>
    </w:p>
    <w:p>
      <w:pPr>
        <w:pStyle w:val="N2"/>
      </w:pPr>
      <w:r>
        <w:t xml:space="preserve">Seller represents that the information in </w:t>
      </w:r>
      <w:r>
        <w:fldChar w:fldCharType="begin"/>
      </w:r>
      <w:r>
        <w:instrText xml:space="preserve"> REF AppA_Section_1A \h  \* MERGEFORMAT </w:instrText>
      </w:r>
      <w:r>
        <w:fldChar w:fldCharType="separate"/>
      </w:r>
      <w:r>
        <w:t>Section 1</w:t>
      </w:r>
      <w:r>
        <w:fldChar w:fldCharType="end"/>
      </w:r>
      <w:r>
        <w:t xml:space="preserve"> (Seller Information) and </w:t>
      </w:r>
      <w:r>
        <w:fldChar w:fldCharType="begin"/>
      </w:r>
      <w:r>
        <w:instrText xml:space="preserve"> REF _docxtools_313 \n \h </w:instrText>
      </w:r>
      <w:r>
        <w:fldChar w:fldCharType="separate"/>
      </w:r>
      <w:r>
        <w:t>Section 2</w:t>
      </w:r>
      <w:r>
        <w:fldChar w:fldCharType="end"/>
      </w:r>
      <w:r>
        <w:t xml:space="preserve"> (Facility Description) of </w:t>
      </w:r>
      <w:r>
        <w:rPr>
          <w:u w:val="single"/>
        </w:rPr>
        <w:fldChar w:fldCharType="begin"/>
      </w:r>
      <w:r>
        <w:rPr>
          <w:u w:val="single"/>
        </w:rPr>
        <w:instrText xml:space="preserve"> REF _docxtools_290 \w \h  </w:instrText>
      </w:r>
      <w:r>
        <w:rPr>
          <w:u w:val="single"/>
        </w:rPr>
      </w:r>
      <w:r>
        <w:rPr>
          <w:u w:val="single"/>
        </w:rPr>
        <w:fldChar w:fldCharType="separate"/>
      </w:r>
      <w:r>
        <w:rPr>
          <w:u w:val="single"/>
        </w:rPr>
        <w:t>Appendix A</w:t>
      </w:r>
      <w:r>
        <w:rPr>
          <w:u w:val="single"/>
        </w:rPr>
        <w:fldChar w:fldCharType="end"/>
      </w:r>
      <w:r>
        <w:t xml:space="preserve"> is true and correct.</w:t>
      </w:r>
    </w:p>
    <w:p>
      <w:pPr>
        <w:pStyle w:val="N1"/>
        <w:keepNext/>
        <w:keepLines/>
        <w:rPr>
          <w:b w:val="0"/>
          <w:vanish/>
          <w:color w:val="FF0000"/>
          <w:specVanish/>
        </w:rPr>
      </w:pPr>
      <w:bookmarkStart w:id="105" w:name="_Toc145698401"/>
      <w:bookmarkStart w:id="106" w:name="_Toc145698460"/>
      <w:bookmarkStart w:id="107" w:name="_Toc166243857"/>
      <w:r>
        <w:t>Default; Remedies</w:t>
      </w:r>
      <w:bookmarkEnd w:id="105"/>
      <w:bookmarkEnd w:id="106"/>
      <w:bookmarkEnd w:id="107"/>
    </w:p>
    <w:p>
      <w:pPr>
        <w:rPr>
          <w:b/>
        </w:rPr>
      </w:pPr>
      <w:r>
        <w:t xml:space="preserve">.  </w:t>
      </w:r>
    </w:p>
    <w:p>
      <w:pPr>
        <w:pStyle w:val="N2"/>
      </w:pPr>
      <w:bookmarkStart w:id="108" w:name="_Ref140394394"/>
      <w:r>
        <w:rPr>
          <w:b/>
        </w:rPr>
        <w:t>Events of Default</w:t>
      </w:r>
      <w:r>
        <w:t>.  Any one or more of the following events will constitute an “</w:t>
      </w:r>
      <w:r>
        <w:rPr>
          <w:u w:val="single"/>
        </w:rPr>
        <w:t>Event of Default</w:t>
      </w:r>
      <w:r>
        <w:t xml:space="preserve">” by Seller and will give PSE the right to exercise the remedies specified in </w:t>
      </w:r>
      <w:r>
        <w:rPr>
          <w:u w:val="single"/>
        </w:rPr>
        <w:t>Section </w:t>
      </w:r>
      <w:r>
        <w:rPr>
          <w:u w:val="single"/>
        </w:rPr>
        <w:fldChar w:fldCharType="begin"/>
      </w:r>
      <w:r>
        <w:rPr>
          <w:u w:val="single"/>
        </w:rPr>
        <w:instrText xml:space="preserve"> REF _Ref140340123 \w \h  \* MERGEFORMAT </w:instrText>
      </w:r>
      <w:r>
        <w:rPr>
          <w:u w:val="single"/>
        </w:rPr>
      </w:r>
      <w:r>
        <w:rPr>
          <w:u w:val="single"/>
        </w:rPr>
        <w:fldChar w:fldCharType="separate"/>
      </w:r>
      <w:r>
        <w:rPr>
          <w:u w:val="single"/>
        </w:rPr>
        <w:t>17.2</w:t>
      </w:r>
      <w:r>
        <w:rPr>
          <w:u w:val="single"/>
        </w:rPr>
        <w:fldChar w:fldCharType="end"/>
      </w:r>
      <w:r>
        <w:t xml:space="preserve"> unless excused in writing by PSE in PSE’s sole discretion:</w:t>
      </w:r>
      <w:bookmarkEnd w:id="108"/>
    </w:p>
    <w:p>
      <w:pPr>
        <w:pStyle w:val="N3"/>
      </w:pPr>
      <w:bookmarkStart w:id="109" w:name="_Ref140340552"/>
      <w:r>
        <w:t xml:space="preserve">Seller fails to achieve Commercial Operation of the Facility by the Required Commercial Operation Date; </w:t>
      </w:r>
      <w:r>
        <w:rPr>
          <w:i/>
        </w:rPr>
        <w:t>provided</w:t>
      </w:r>
      <w:r>
        <w:t xml:space="preserve">, </w:t>
      </w:r>
      <w:r>
        <w:rPr>
          <w:i/>
        </w:rPr>
        <w:t>however</w:t>
      </w:r>
      <w:r>
        <w:t xml:space="preserve">, if Seller is paying Delay Damages pursuant to </w:t>
      </w:r>
      <w:r>
        <w:rPr>
          <w:u w:val="single"/>
        </w:rPr>
        <w:t>Section </w:t>
      </w:r>
      <w:r>
        <w:rPr>
          <w:u w:val="single"/>
        </w:rPr>
        <w:fldChar w:fldCharType="begin"/>
      </w:r>
      <w:r>
        <w:rPr>
          <w:u w:val="single"/>
        </w:rPr>
        <w:instrText xml:space="preserve"> REF _Ref140339513 \w \h  \* MERGEFORMAT </w:instrText>
      </w:r>
      <w:r>
        <w:rPr>
          <w:u w:val="single"/>
        </w:rPr>
      </w:r>
      <w:r>
        <w:rPr>
          <w:u w:val="single"/>
        </w:rPr>
        <w:fldChar w:fldCharType="separate"/>
      </w:r>
      <w:r>
        <w:rPr>
          <w:u w:val="single"/>
        </w:rPr>
        <w:t>9.2</w:t>
      </w:r>
      <w:r>
        <w:rPr>
          <w:u w:val="single"/>
        </w:rPr>
        <w:fldChar w:fldCharType="end"/>
      </w:r>
      <w:r>
        <w:t>, such failure will not become an Event of Default until the earlier of (a) the date that Seller notifies PSE that Commercial Operation will not be achieved, or (b) ninety (90) Days after the Required Commercial Operation Date.</w:t>
      </w:r>
      <w:bookmarkEnd w:id="109"/>
    </w:p>
    <w:p>
      <w:pPr>
        <w:pStyle w:val="N3"/>
      </w:pPr>
      <w:bookmarkStart w:id="110" w:name="_Ref140339637"/>
      <w:r>
        <w:t>The Annual Capacity Factor is less than the Minimum Capacity Factor for two (2) consecutive Annual Periods.</w:t>
      </w:r>
      <w:bookmarkEnd w:id="110"/>
    </w:p>
    <w:p>
      <w:pPr>
        <w:pStyle w:val="N3"/>
      </w:pPr>
      <w:r>
        <w:t>The Facility output exceeds the Interconnection Limit.</w:t>
      </w:r>
    </w:p>
    <w:p>
      <w:pPr>
        <w:pStyle w:val="N3"/>
      </w:pPr>
      <w:r>
        <w:t>The Interconnection Agreement is terminated as a result of a Seller breach of the agreement.</w:t>
      </w:r>
    </w:p>
    <w:p>
      <w:pPr>
        <w:pStyle w:val="N3"/>
      </w:pPr>
      <w:r>
        <w:t>Seller makes any sale, transfer, or disposition of any Solar Output or other Attribute from the Facility to itself or a third party.</w:t>
      </w:r>
    </w:p>
    <w:p>
      <w:pPr>
        <w:pStyle w:val="N3"/>
      </w:pPr>
      <w:r>
        <w:t>Seller or any of its Affiliates, or any of their employees, contractors, subcontractors, agents or representatives, willfully adjust or tamper with the meter without PSE’s prior written consent.</w:t>
      </w:r>
    </w:p>
    <w:p>
      <w:pPr>
        <w:pStyle w:val="N3"/>
      </w:pPr>
      <w:r>
        <w:t xml:space="preserve">Seller fails to comply with </w:t>
      </w:r>
      <w:r>
        <w:rPr>
          <w:u w:val="single"/>
        </w:rPr>
        <w:t>Section </w:t>
      </w:r>
      <w:r>
        <w:rPr>
          <w:u w:val="single"/>
        </w:rPr>
        <w:fldChar w:fldCharType="begin"/>
      </w:r>
      <w:r>
        <w:rPr>
          <w:u w:val="single"/>
        </w:rPr>
        <w:instrText xml:space="preserve"> REF _Ref140339973 \w \h  \* MERGEFORMAT </w:instrText>
      </w:r>
      <w:r>
        <w:rPr>
          <w:u w:val="single"/>
        </w:rPr>
      </w:r>
      <w:r>
        <w:rPr>
          <w:u w:val="single"/>
        </w:rPr>
        <w:fldChar w:fldCharType="separate"/>
      </w:r>
      <w:r>
        <w:rPr>
          <w:u w:val="single"/>
        </w:rPr>
        <w:t>15.1</w:t>
      </w:r>
      <w:r>
        <w:rPr>
          <w:u w:val="single"/>
        </w:rPr>
        <w:fldChar w:fldCharType="end"/>
      </w:r>
      <w:r>
        <w:t xml:space="preserve"> in connection with an attempted assignment of this PPA.</w:t>
      </w:r>
    </w:p>
    <w:p>
      <w:pPr>
        <w:pStyle w:val="N3"/>
      </w:pPr>
      <w:r>
        <w:t>Seller fails to pay PSE any undisputed amount payable by Seller to PSE pursuant to this PPA by the due date and Seller fails to cure such failure to pay within ten (10) Business Days after receipt of written demand from PSE.</w:t>
      </w:r>
    </w:p>
    <w:p>
      <w:pPr>
        <w:pStyle w:val="N3"/>
      </w:pPr>
      <w:r>
        <w:t xml:space="preserve">Seller fails to furnish Eligible Collateral pursuant to </w:t>
      </w:r>
      <w:r>
        <w:rPr>
          <w:u w:val="single"/>
        </w:rPr>
        <w:t>Section </w:t>
      </w:r>
      <w:r>
        <w:rPr>
          <w:u w:val="single"/>
        </w:rPr>
        <w:fldChar w:fldCharType="begin"/>
      </w:r>
      <w:r>
        <w:rPr>
          <w:u w:val="single"/>
        </w:rPr>
        <w:instrText xml:space="preserve"> REF _Ref140339513 \w \h  \* MERGEFORMAT </w:instrText>
      </w:r>
      <w:r>
        <w:rPr>
          <w:u w:val="single"/>
        </w:rPr>
      </w:r>
      <w:r>
        <w:rPr>
          <w:u w:val="single"/>
        </w:rPr>
        <w:fldChar w:fldCharType="separate"/>
      </w:r>
      <w:r>
        <w:rPr>
          <w:u w:val="single"/>
        </w:rPr>
        <w:t>9.2</w:t>
      </w:r>
      <w:r>
        <w:rPr>
          <w:u w:val="single"/>
        </w:rPr>
        <w:fldChar w:fldCharType="end"/>
      </w:r>
      <w:r>
        <w:t>.</w:t>
      </w:r>
    </w:p>
    <w:p>
      <w:pPr>
        <w:pStyle w:val="N3"/>
      </w:pPr>
      <w:r>
        <w:t xml:space="preserve">If </w:t>
      </w:r>
      <w:r>
        <w:rPr>
          <w:u w:val="single"/>
        </w:rPr>
        <w:fldChar w:fldCharType="begin"/>
      </w:r>
      <w:r>
        <w:rPr>
          <w:u w:val="single"/>
        </w:rPr>
        <w:instrText xml:space="preserve"> REF _docxtools_585 \w \h  </w:instrText>
      </w:r>
      <w:r>
        <w:rPr>
          <w:u w:val="single"/>
        </w:rPr>
      </w:r>
      <w:r>
        <w:rPr>
          <w:u w:val="single"/>
        </w:rPr>
        <w:fldChar w:fldCharType="separate"/>
      </w:r>
      <w:r>
        <w:rPr>
          <w:u w:val="single"/>
        </w:rPr>
        <w:t>Appendix E</w:t>
      </w:r>
      <w:r>
        <w:rPr>
          <w:u w:val="single"/>
        </w:rPr>
        <w:fldChar w:fldCharType="end"/>
      </w:r>
      <w:r>
        <w:t xml:space="preserve"> is applicable, Seller fails to comply with or cause compliance with the Performance Security requirements of </w:t>
      </w:r>
      <w:r>
        <w:rPr>
          <w:u w:val="single"/>
        </w:rPr>
        <w:fldChar w:fldCharType="begin"/>
      </w:r>
      <w:r>
        <w:rPr>
          <w:u w:val="single"/>
        </w:rPr>
        <w:instrText xml:space="preserve"> REF _docxtools_585 \w \h  </w:instrText>
      </w:r>
      <w:r>
        <w:rPr>
          <w:u w:val="single"/>
        </w:rPr>
      </w:r>
      <w:r>
        <w:rPr>
          <w:u w:val="single"/>
        </w:rPr>
        <w:fldChar w:fldCharType="separate"/>
      </w:r>
      <w:r>
        <w:rPr>
          <w:u w:val="single"/>
        </w:rPr>
        <w:t>Appendix E</w:t>
      </w:r>
      <w:r>
        <w:rPr>
          <w:u w:val="single"/>
        </w:rPr>
        <w:fldChar w:fldCharType="end"/>
      </w:r>
      <w:r>
        <w:t xml:space="preserve">, unless cured by the end of the next Business Day following receipt of a written notice from PSE of such failure to comply with </w:t>
      </w:r>
      <w:r>
        <w:rPr>
          <w:u w:val="single"/>
        </w:rPr>
        <w:fldChar w:fldCharType="begin"/>
      </w:r>
      <w:r>
        <w:rPr>
          <w:u w:val="single"/>
        </w:rPr>
        <w:instrText xml:space="preserve"> REF _docxtools_585 \w \h  </w:instrText>
      </w:r>
      <w:r>
        <w:rPr>
          <w:u w:val="single"/>
        </w:rPr>
      </w:r>
      <w:r>
        <w:rPr>
          <w:u w:val="single"/>
        </w:rPr>
        <w:fldChar w:fldCharType="separate"/>
      </w:r>
      <w:r>
        <w:rPr>
          <w:u w:val="single"/>
        </w:rPr>
        <w:t>Appendix E</w:t>
      </w:r>
      <w:r>
        <w:rPr>
          <w:u w:val="single"/>
        </w:rPr>
        <w:fldChar w:fldCharType="end"/>
      </w:r>
      <w:r>
        <w:t>.</w:t>
      </w:r>
    </w:p>
    <w:p>
      <w:pPr>
        <w:pStyle w:val="N3"/>
      </w:pPr>
      <w:r>
        <w:lastRenderedPageBreak/>
        <w:t>A court having jurisdiction enters:  (a) a decree or order for relief in respect of Seller in an involuntary case or proceeding under any applicable federal or state bankruptcy, insolvency, reorganization or other similar law; or (b) a decree or order, which was sought by any Person other than Seller, adjudicating Seller bankrupt or insolvent, or approving as properly filed a petition seeking reorganization, arrangement, adjustment or composition of or in respect of Seller under any applicable federal or state law, or appointing a custodian, receiver, liquidator, assignee, trustee, sequestrator or other similar official of Seller or of any substantial part of its affairs.</w:t>
      </w:r>
    </w:p>
    <w:p>
      <w:pPr>
        <w:pStyle w:val="N3"/>
      </w:pPr>
      <w:r>
        <w:t>Seller (a) commences a voluntary case or proceeding under any applicable federal or state bankruptcy, insolvency, reorganization or other similar law or any other case or proceeding to be adjudicated a bankrupt or insolvent; (b) consents to the entry of a decree or order for relief in respect of Seller in any involuntary case or proceeding under any applicable federal or state bankruptcy, insolvency, reorganization or other similar law or to the commencement of any bankruptcy or insolvency case or proceeding against it; (c) files any petition, answer or consent seeking reorganization or relief under any applicable federal or state law, which, if granted would have the effect of relieving Seller of any of its obligations; (d) consents to the filing of any petition for, or to the appointment of or the taking of possession by, a custodian, receiver, liquidator, assignee, trustee, sequestrator or similar official for Seller or for any substantial part of its property; (e) makes an assignment for the benefit of creditors; (f) admits in writing its inability to generally pay its debts as they become due; or (g) takes any action in furtherance of any of the foregoing.</w:t>
      </w:r>
    </w:p>
    <w:p>
      <w:pPr>
        <w:pStyle w:val="N3"/>
      </w:pPr>
      <w:bookmarkStart w:id="111" w:name="_Ref140340450"/>
      <w:r>
        <w:t xml:space="preserve">Any representation, warranty, or covenant made by Seller in </w:t>
      </w:r>
      <w:r>
        <w:rPr>
          <w:u w:val="single"/>
        </w:rPr>
        <w:t>Section </w:t>
      </w:r>
      <w:r>
        <w:rPr>
          <w:u w:val="single"/>
        </w:rPr>
        <w:fldChar w:fldCharType="begin"/>
      </w:r>
      <w:r>
        <w:rPr>
          <w:u w:val="single"/>
        </w:rPr>
        <w:instrText xml:space="preserve"> REF _Ref140340415 \w \h  \* MERGEFORMAT </w:instrText>
      </w:r>
      <w:r>
        <w:rPr>
          <w:u w:val="single"/>
        </w:rPr>
      </w:r>
      <w:r>
        <w:rPr>
          <w:u w:val="single"/>
        </w:rPr>
        <w:fldChar w:fldCharType="separate"/>
      </w:r>
      <w:r>
        <w:rPr>
          <w:u w:val="single"/>
        </w:rPr>
        <w:t>16</w:t>
      </w:r>
      <w:r>
        <w:rPr>
          <w:u w:val="single"/>
        </w:rPr>
        <w:fldChar w:fldCharType="end"/>
      </w:r>
      <w:r>
        <w:t xml:space="preserve"> proves to be incorrect in any material respect when made, unless Seller promptly commences and diligently pursues action to cause such representation, warranty, or covenant to become true in all material respects and does so within thirty (30) Days after notice thereof has been given to Seller by PSE (unless such cure is not capable of being effected within such thirty (30) Day period, in which case Seller will have an additional thirty (30) Day period in which to perform such cure) and such cure removes any material adverse effect on PSE of such representation, warranty, or covenant having been incorrect</w:t>
      </w:r>
      <w:bookmarkEnd w:id="111"/>
      <w:r>
        <w:t>.</w:t>
      </w:r>
    </w:p>
    <w:p>
      <w:pPr>
        <w:pStyle w:val="N3"/>
      </w:pPr>
      <w:bookmarkStart w:id="112" w:name="_Ref140340582"/>
      <w:r>
        <w:t xml:space="preserve">Seller fails to comply with </w:t>
      </w:r>
      <w:r>
        <w:rPr>
          <w:u w:val="single"/>
        </w:rPr>
        <w:t>Section </w:t>
      </w:r>
      <w:r>
        <w:rPr>
          <w:u w:val="single"/>
        </w:rPr>
        <w:fldChar w:fldCharType="begin"/>
      </w:r>
      <w:r>
        <w:rPr>
          <w:u w:val="single"/>
        </w:rPr>
        <w:instrText xml:space="preserve"> REF _Ref140340497 \w \h  \* MERGEFORMAT </w:instrText>
      </w:r>
      <w:r>
        <w:rPr>
          <w:u w:val="single"/>
        </w:rPr>
      </w:r>
      <w:r>
        <w:rPr>
          <w:u w:val="single"/>
        </w:rPr>
        <w:fldChar w:fldCharType="separate"/>
      </w:r>
      <w:r>
        <w:rPr>
          <w:u w:val="single"/>
        </w:rPr>
        <w:t>13.3</w:t>
      </w:r>
      <w:r>
        <w:rPr>
          <w:u w:val="single"/>
        </w:rPr>
        <w:fldChar w:fldCharType="end"/>
      </w:r>
      <w:r>
        <w:t>.</w:t>
      </w:r>
      <w:bookmarkEnd w:id="112"/>
    </w:p>
    <w:p>
      <w:pPr>
        <w:pStyle w:val="N3"/>
      </w:pPr>
      <w:r>
        <w:t xml:space="preserve">Seller fails to perform or comply with any other material term or condition of this PPA, other than those listed in </w:t>
      </w:r>
      <w:r>
        <w:rPr>
          <w:u w:val="single"/>
        </w:rPr>
        <w:t>Sections </w:t>
      </w:r>
      <w:r>
        <w:rPr>
          <w:u w:val="single"/>
        </w:rPr>
        <w:fldChar w:fldCharType="begin"/>
      </w:r>
      <w:r>
        <w:rPr>
          <w:u w:val="single"/>
        </w:rPr>
        <w:instrText xml:space="preserve"> REF _Ref140340552 \w \h  \* MERGEFORMAT </w:instrText>
      </w:r>
      <w:r>
        <w:rPr>
          <w:u w:val="single"/>
        </w:rPr>
      </w:r>
      <w:r>
        <w:rPr>
          <w:u w:val="single"/>
        </w:rPr>
        <w:fldChar w:fldCharType="separate"/>
      </w:r>
      <w:r>
        <w:rPr>
          <w:u w:val="single"/>
        </w:rPr>
        <w:t>17.1.1</w:t>
      </w:r>
      <w:r>
        <w:rPr>
          <w:u w:val="single"/>
        </w:rPr>
        <w:fldChar w:fldCharType="end"/>
      </w:r>
      <w:r>
        <w:t xml:space="preserve"> through </w:t>
      </w:r>
      <w:r>
        <w:rPr>
          <w:u w:val="single"/>
        </w:rPr>
        <w:t>17.1.14</w:t>
      </w:r>
      <w:r>
        <w:t>, which failure continues for thirty (30) Days after written notice from PSE.</w:t>
      </w:r>
    </w:p>
    <w:p>
      <w:pPr>
        <w:pStyle w:val="N2"/>
        <w:keepNext/>
        <w:keepLines/>
      </w:pPr>
      <w:bookmarkStart w:id="113" w:name="_Ref140340123"/>
      <w:r>
        <w:rPr>
          <w:b/>
        </w:rPr>
        <w:t>Termination for Default; Termination</w:t>
      </w:r>
      <w:r>
        <w:t xml:space="preserve"> </w:t>
      </w:r>
      <w:r>
        <w:rPr>
          <w:b/>
        </w:rPr>
        <w:t>Damages</w:t>
      </w:r>
      <w:bookmarkEnd w:id="113"/>
    </w:p>
    <w:p>
      <w:pPr>
        <w:pStyle w:val="N3"/>
      </w:pPr>
      <w:bookmarkStart w:id="114" w:name="_Ref140340596"/>
      <w:r>
        <w:t>Upon the occurrence and during the continuation of an Event of Default by Seller, PSE will be entitled to terminate this PPA and set a termination date by giving written notice thereof to Seller.</w:t>
      </w:r>
      <w:bookmarkEnd w:id="114"/>
    </w:p>
    <w:p>
      <w:pPr>
        <w:pStyle w:val="N3"/>
      </w:pPr>
      <w:bookmarkStart w:id="115" w:name="_Ref140340677"/>
      <w:r>
        <w:lastRenderedPageBreak/>
        <w:t xml:space="preserve">If PSE terminates this PPA under </w:t>
      </w:r>
      <w:r>
        <w:rPr>
          <w:u w:val="single"/>
        </w:rPr>
        <w:t>Section </w:t>
      </w:r>
      <w:r>
        <w:rPr>
          <w:u w:val="single"/>
        </w:rPr>
        <w:fldChar w:fldCharType="begin"/>
      </w:r>
      <w:r>
        <w:rPr>
          <w:u w:val="single"/>
        </w:rPr>
        <w:instrText xml:space="preserve"> REF _Ref140340596 \w \h  \* MERGEFORMAT </w:instrText>
      </w:r>
      <w:r>
        <w:rPr>
          <w:u w:val="single"/>
        </w:rPr>
      </w:r>
      <w:r>
        <w:rPr>
          <w:u w:val="single"/>
        </w:rPr>
        <w:fldChar w:fldCharType="separate"/>
      </w:r>
      <w:r>
        <w:rPr>
          <w:u w:val="single"/>
        </w:rPr>
        <w:t>17.2.1</w:t>
      </w:r>
      <w:r>
        <w:rPr>
          <w:u w:val="single"/>
        </w:rPr>
        <w:fldChar w:fldCharType="end"/>
      </w:r>
      <w:r>
        <w:t>, PSE will be entitled to recover from Seller all amounts then owed by Seller to PSE under this PPA (including any unpaid Delay Damages, if applicable) and recover from Seller liquidated damages for such termination (“</w:t>
      </w:r>
      <w:r>
        <w:rPr>
          <w:u w:val="single"/>
        </w:rPr>
        <w:t>Termination Liquidated Damages</w:t>
      </w:r>
      <w:r>
        <w:t xml:space="preserve">”) in the applicable amount set forth in </w:t>
      </w:r>
      <w:r>
        <w:fldChar w:fldCharType="begin"/>
      </w:r>
      <w:r>
        <w:instrText xml:space="preserve"> REF _docxtools_433 \n \h </w:instrText>
      </w:r>
      <w:r>
        <w:fldChar w:fldCharType="separate"/>
      </w:r>
      <w:r>
        <w:t>Section 6</w:t>
      </w:r>
      <w:r>
        <w:fldChar w:fldCharType="end"/>
      </w:r>
      <w:r>
        <w:t xml:space="preserve"> of </w:t>
      </w:r>
      <w:r>
        <w:rPr>
          <w:u w:val="single"/>
        </w:rPr>
        <w:fldChar w:fldCharType="begin"/>
      </w:r>
      <w:r>
        <w:rPr>
          <w:u w:val="single"/>
        </w:rPr>
        <w:instrText xml:space="preserve"> REF _docxtools_290 \w \h  </w:instrText>
      </w:r>
      <w:r>
        <w:rPr>
          <w:u w:val="single"/>
        </w:rPr>
      </w:r>
      <w:r>
        <w:rPr>
          <w:u w:val="single"/>
        </w:rPr>
        <w:fldChar w:fldCharType="separate"/>
      </w:r>
      <w:r>
        <w:rPr>
          <w:u w:val="single"/>
        </w:rPr>
        <w:t>Appendix A</w:t>
      </w:r>
      <w:r>
        <w:rPr>
          <w:u w:val="single"/>
        </w:rPr>
        <w:fldChar w:fldCharType="end"/>
      </w:r>
      <w:r>
        <w:t xml:space="preserve">.  For the avoidance of doubt, if PSE terminates this PPA pursuant to </w:t>
      </w:r>
      <w:r>
        <w:rPr>
          <w:u w:val="single"/>
        </w:rPr>
        <w:t>Section </w:t>
      </w:r>
      <w:r>
        <w:rPr>
          <w:u w:val="single"/>
        </w:rPr>
        <w:fldChar w:fldCharType="begin"/>
      </w:r>
      <w:r>
        <w:rPr>
          <w:u w:val="single"/>
        </w:rPr>
        <w:instrText xml:space="preserve"> REF _Ref140340596 \w \h  \* MERGEFORMAT </w:instrText>
      </w:r>
      <w:r>
        <w:rPr>
          <w:u w:val="single"/>
        </w:rPr>
      </w:r>
      <w:r>
        <w:rPr>
          <w:u w:val="single"/>
        </w:rPr>
        <w:fldChar w:fldCharType="separate"/>
      </w:r>
      <w:r>
        <w:rPr>
          <w:u w:val="single"/>
        </w:rPr>
        <w:t>17.2.1</w:t>
      </w:r>
      <w:r>
        <w:rPr>
          <w:u w:val="single"/>
        </w:rPr>
        <w:fldChar w:fldCharType="end"/>
      </w:r>
      <w:r>
        <w:t xml:space="preserve"> for an Event of Default by Seller under </w:t>
      </w:r>
      <w:r>
        <w:rPr>
          <w:u w:val="single"/>
        </w:rPr>
        <w:t>Section </w:t>
      </w:r>
      <w:r>
        <w:rPr>
          <w:u w:val="single"/>
        </w:rPr>
        <w:fldChar w:fldCharType="begin"/>
      </w:r>
      <w:r>
        <w:rPr>
          <w:u w:val="single"/>
        </w:rPr>
        <w:instrText xml:space="preserve"> REF _Ref140340552 \w \h  \* MERGEFORMAT </w:instrText>
      </w:r>
      <w:r>
        <w:rPr>
          <w:u w:val="single"/>
        </w:rPr>
      </w:r>
      <w:r>
        <w:rPr>
          <w:u w:val="single"/>
        </w:rPr>
        <w:fldChar w:fldCharType="separate"/>
      </w:r>
      <w:r>
        <w:rPr>
          <w:u w:val="single"/>
        </w:rPr>
        <w:t>17.1.1</w:t>
      </w:r>
      <w:r>
        <w:rPr>
          <w:u w:val="single"/>
        </w:rPr>
        <w:fldChar w:fldCharType="end"/>
      </w:r>
      <w:r>
        <w:t xml:space="preserve">, then Seller will owe PSE the Termination Liquidated Damages pursuant to this </w:t>
      </w:r>
      <w:r>
        <w:rPr>
          <w:u w:val="single"/>
        </w:rPr>
        <w:t>Section </w:t>
      </w:r>
      <w:r>
        <w:rPr>
          <w:u w:val="single"/>
        </w:rPr>
        <w:fldChar w:fldCharType="begin"/>
      </w:r>
      <w:r>
        <w:rPr>
          <w:u w:val="single"/>
        </w:rPr>
        <w:instrText xml:space="preserve"> REF _Ref140340677 \w \h  \* MERGEFORMAT </w:instrText>
      </w:r>
      <w:r>
        <w:rPr>
          <w:u w:val="single"/>
        </w:rPr>
      </w:r>
      <w:r>
        <w:rPr>
          <w:u w:val="single"/>
        </w:rPr>
        <w:fldChar w:fldCharType="separate"/>
      </w:r>
      <w:r>
        <w:rPr>
          <w:u w:val="single"/>
        </w:rPr>
        <w:t>17.2.2</w:t>
      </w:r>
      <w:r>
        <w:rPr>
          <w:u w:val="single"/>
        </w:rPr>
        <w:fldChar w:fldCharType="end"/>
      </w:r>
      <w:r>
        <w:t xml:space="preserve"> in addition to the Delay Damages that accrue under </w:t>
      </w:r>
      <w:r>
        <w:rPr>
          <w:u w:val="single"/>
        </w:rPr>
        <w:t>Section </w:t>
      </w:r>
      <w:r>
        <w:rPr>
          <w:u w:val="single"/>
        </w:rPr>
        <w:fldChar w:fldCharType="begin"/>
      </w:r>
      <w:r>
        <w:rPr>
          <w:u w:val="single"/>
        </w:rPr>
        <w:instrText xml:space="preserve"> REF _Ref140339513 \w \h  \* MERGEFORMAT </w:instrText>
      </w:r>
      <w:r>
        <w:rPr>
          <w:u w:val="single"/>
        </w:rPr>
      </w:r>
      <w:r>
        <w:rPr>
          <w:u w:val="single"/>
        </w:rPr>
        <w:fldChar w:fldCharType="separate"/>
      </w:r>
      <w:r>
        <w:rPr>
          <w:u w:val="single"/>
        </w:rPr>
        <w:t>9.2</w:t>
      </w:r>
      <w:r>
        <w:rPr>
          <w:u w:val="single"/>
        </w:rPr>
        <w:fldChar w:fldCharType="end"/>
      </w:r>
      <w:r>
        <w:t>, as applicable, prior to such termination.</w:t>
      </w:r>
      <w:bookmarkEnd w:id="115"/>
    </w:p>
    <w:p>
      <w:pPr>
        <w:pStyle w:val="N2"/>
      </w:pPr>
      <w:r>
        <w:rPr>
          <w:b/>
        </w:rPr>
        <w:t>Limitation of Remedies, Liability, and Damages</w:t>
      </w:r>
      <w:r>
        <w:t xml:space="preserve">.  THE PARTIES CONFIRM THAT THE EXPRESS REMEDIES AND MEASURES OF DAMAGES PROVIDED IN THIS PPA SATISFY THE ESSENTIAL PURPOSE HEREOF FOR BREACH OF ANY PROVISION FOR WHICH AN EXPRESS REMEDY OR MEASURE OF DAMAGE IS PROVIDED, AND IN SUCH EVENT SUCH EXPRESS REMEDY OR MEASURE OF DAMAGES WILL BE THE SOLE AND EXCLUSIVE REMEDY.  NEITHER PARTY WILL BE LIABLE FOR CONSEQUENTIAL, INCIDENTAL, PUNITIVE, EXEMPLARY OR INDIRECT DAMAGES, LOST PROFITS OR OTHER BUSINESS INTERRUPTION DAMAGES, WHETHER BY STATUTE, IN TORT OR CONTRACT, UNDER ANY INDEMNITY PROVISION OR OTHERWISE; </w:t>
      </w:r>
      <w:r>
        <w:rPr>
          <w:i/>
        </w:rPr>
        <w:t>PROVIDED</w:t>
      </w:r>
      <w:r>
        <w:t xml:space="preserve">, </w:t>
      </w:r>
      <w:r>
        <w:rPr>
          <w:i/>
        </w:rPr>
        <w:t>HOWEVER</w:t>
      </w:r>
      <w:r>
        <w:t xml:space="preserve">, </w:t>
      </w:r>
      <w:r>
        <w:rPr>
          <w:i/>
        </w:rPr>
        <w:t>THAT</w:t>
      </w:r>
      <w:r>
        <w:t xml:space="preserve"> SUCH LIMITATION WILL NOT APPLY (1) IN THE CASE OF AMOUNTS OWED TO THIRD PARTIES FOR WHICH INDEMNIFICATION IS PROVIDED UNDER THIS PPA, (2) TO LIMIT THE LIABILITY OF SELLER FOR LIQUIDATED DAMAGES SPECIFIED HEREIN, OR (3) TO LIMIT THE LIABILITY OF A PARTY WHOSE ACTIONS GIVING RISE TO SUCH LIABILITY CONSTITUTE GROSS NEGLIGENCE OR WILLFUL MISCONDUCT.  IT IS EXPRESSLY AGREED THAT THE LOST VALUE OF ANY INVESTMENT TAX CREDIT OR ANY OTHER SIMILAR TAX CREDIT OR BENEFIT WILL BE CONSIDERED CONSEQUENTIAL DAMAGES.  TO THE EXTENT THE DAMAGES REQUIRED TO BE PAID UNDER THIS PPA ARE LIQUIDATED, THE PARTIES ACKNOWLEDGE THAT THE ACTUAL DAMAGES ARE DIFFICULT OR IMPOSSIBLE TO DETERMINE, OTHERWISE OBTAINING AN ADEQUATE REMEDY IS INCONVENIENT AND THE LIQUIDATED DAMAGES DO NOT CONSTITUTE A PENALTY AND ARE A REASONABLE APPROXIMATION OF THE HARM OR LOSS.</w:t>
      </w:r>
    </w:p>
    <w:p>
      <w:pPr>
        <w:pStyle w:val="N1"/>
        <w:rPr>
          <w:vanish/>
          <w:color w:val="FF0000"/>
          <w:specVanish/>
        </w:rPr>
      </w:pPr>
      <w:bookmarkStart w:id="116" w:name="_Toc145698402"/>
      <w:bookmarkStart w:id="117" w:name="_Toc145698461"/>
      <w:bookmarkStart w:id="118" w:name="_Toc166243858"/>
      <w:r>
        <w:rPr>
          <w:bCs/>
        </w:rPr>
        <w:t>Seller’s Assistance</w:t>
      </w:r>
      <w:bookmarkEnd w:id="116"/>
      <w:bookmarkEnd w:id="117"/>
      <w:bookmarkEnd w:id="118"/>
    </w:p>
    <w:p>
      <w:r>
        <w:t>.  Seller covenants to provide reasonable cooperation to PSE at PSE’s request in supporting efforts by PSE to obtain any approval required from or oppose any action to direct the material modification of terms or conditions of this PPA by any regulatory body having jurisdiction thereover.</w:t>
      </w:r>
    </w:p>
    <w:p>
      <w:pPr>
        <w:pStyle w:val="N1"/>
        <w:rPr>
          <w:vanish/>
          <w:color w:val="FF0000"/>
          <w:specVanish/>
        </w:rPr>
      </w:pPr>
      <w:bookmarkStart w:id="119" w:name="_docxtools_229"/>
      <w:bookmarkStart w:id="120" w:name="_Toc145698403"/>
      <w:bookmarkStart w:id="121" w:name="_Toc145698462"/>
      <w:bookmarkStart w:id="122" w:name="_Toc166243859"/>
      <w:r>
        <w:rPr>
          <w:bCs/>
        </w:rPr>
        <w:t>Insurance</w:t>
      </w:r>
      <w:bookmarkEnd w:id="119"/>
      <w:bookmarkEnd w:id="120"/>
      <w:bookmarkEnd w:id="121"/>
      <w:bookmarkEnd w:id="122"/>
    </w:p>
    <w:p>
      <w:r>
        <w:t xml:space="preserve">.  </w:t>
      </w:r>
    </w:p>
    <w:p>
      <w:pPr>
        <w:pStyle w:val="N2"/>
      </w:pPr>
      <w:bookmarkStart w:id="123" w:name="_Ref146010523"/>
      <w:bookmarkStart w:id="124" w:name="_docxtools_231"/>
      <w:r>
        <w:t>Seller, at its own cost and expense, shall maintain or cause to maintain, and keep in full force and effect from the Execution Date through the later of the date of expiration or termination of this PPA, the following insurance coverage:</w:t>
      </w:r>
      <w:bookmarkEnd w:id="123"/>
    </w:p>
    <w:p>
      <w:pPr>
        <w:pStyle w:val="N3"/>
      </w:pPr>
      <w:bookmarkStart w:id="125" w:name="_Ref145702144"/>
      <w:bookmarkEnd w:id="124"/>
      <w:r>
        <w:lastRenderedPageBreak/>
        <w:t>Workers’ Compensation Insurance for statutory obligations imposed by applicable state laws, and Employer’s Liability Insurance with a minimum limits of liability bodily injury by accident of one million dollars ($1,000,000) for each accident; bodily injury by disease one million dollars ($1,000,000) policy limit; and bodily injury by disease one million dollars ($1,000,000) each employee;</w:t>
      </w:r>
      <w:bookmarkEnd w:id="125"/>
      <w:r>
        <w:t xml:space="preserve"> </w:t>
      </w:r>
    </w:p>
    <w:p>
      <w:pPr>
        <w:pStyle w:val="N3"/>
      </w:pPr>
      <w:bookmarkStart w:id="126" w:name="_Ref145702955"/>
      <w:r>
        <w:t>Commercial General Liability Insurance, including premises and operations, bodily injury, broad form property damage, products/completed operations, contractual liability and independent contractors’ protective liability all with minimum limits of not less than one million dollars ($1,000,000) per occurrence, two million dollars ($2,000,000) annual aggregate, and two million dollars ($2,000,000) products and completed operations aggregate;</w:t>
      </w:r>
      <w:bookmarkEnd w:id="126"/>
    </w:p>
    <w:p>
      <w:pPr>
        <w:pStyle w:val="N3"/>
      </w:pPr>
      <w:bookmarkStart w:id="127" w:name="_Ref145701962"/>
      <w:r>
        <w:t>Commercial Automobile Insurance with a minimum limit of one million dollars ($1,000,000) combined single limit per accident with respect to bodily injury, property damage or death;</w:t>
      </w:r>
      <w:bookmarkEnd w:id="127"/>
    </w:p>
    <w:p>
      <w:pPr>
        <w:pStyle w:val="N3"/>
      </w:pPr>
      <w:r>
        <w:t xml:space="preserve">Umbrella Excess Liability Coverage with a minimum limit of ten million dollars ($10,000,000) per occurrence and ten million dollars ($10,000,000) annual aggregate.  The combined liability limits may be satisfied through a combination of primary, umbrella/excess, and self-insured retention.  Any self-insured retention is subject to approval by PSE, which approval shall not be unreasonably withheld; </w:t>
      </w:r>
    </w:p>
    <w:p>
      <w:pPr>
        <w:pStyle w:val="N3"/>
      </w:pPr>
      <w:r>
        <w:t>Builder’s All-Risk Insurance with a minimum limit based on the total replacement cost of the Facility, provided that such Builder’s All-Risk Insurance shall only be required during construction of the Facility;</w:t>
      </w:r>
    </w:p>
    <w:p>
      <w:pPr>
        <w:pStyle w:val="N3"/>
      </w:pPr>
      <w:r>
        <w:t>All-Risk Property Insurance covering physical loss or damage to the Facility with minimum limits based on the total replacement cost of the Facility; and</w:t>
      </w:r>
    </w:p>
    <w:p>
      <w:pPr>
        <w:pStyle w:val="N3"/>
      </w:pPr>
      <w:bookmarkStart w:id="128" w:name="_Ref145702912"/>
      <w:r>
        <w:t>Business Interruption Insurance which amount shall cover Seller’s continuing or increased expenses resulting from full interruption for a period of six (6) calendar months and a time deductible of no more than sixty (60) Days.</w:t>
      </w:r>
      <w:bookmarkEnd w:id="128"/>
    </w:p>
    <w:p>
      <w:pPr>
        <w:pStyle w:val="N2"/>
      </w:pPr>
      <w:r>
        <w:t xml:space="preserve">All insurance policies required to be obtained hereunder shall provide insurance for occurrences from the date hereof through the later of the expiration or termination of this PPA, except as provided otherwise in </w:t>
      </w:r>
      <w:r>
        <w:rPr>
          <w:u w:val="single"/>
        </w:rPr>
        <w:t>Section </w:t>
      </w:r>
      <w:r>
        <w:rPr>
          <w:u w:val="single"/>
        </w:rPr>
        <w:fldChar w:fldCharType="begin"/>
      </w:r>
      <w:r>
        <w:rPr>
          <w:u w:val="single"/>
        </w:rPr>
        <w:instrText xml:space="preserve"> REF _docxtools_231 \w \h \t   \* MERGEFORMAT </w:instrText>
      </w:r>
      <w:r>
        <w:rPr>
          <w:u w:val="single"/>
        </w:rPr>
      </w:r>
      <w:r>
        <w:rPr>
          <w:u w:val="single"/>
        </w:rPr>
        <w:fldChar w:fldCharType="separate"/>
      </w:r>
      <w:r>
        <w:rPr>
          <w:u w:val="single"/>
        </w:rPr>
        <w:t>19.1</w:t>
      </w:r>
      <w:r>
        <w:rPr>
          <w:u w:val="single"/>
        </w:rPr>
        <w:fldChar w:fldCharType="end"/>
      </w:r>
      <w:r>
        <w:t>.  If any insurance policy required to be obtained hereunder is on a “claims made” basis, Seller shall either maintain either “tail” coverage or continuous “claims made” liability coverage for a minimum of six (6) years following the expiration of this PPA.</w:t>
      </w:r>
    </w:p>
    <w:p>
      <w:pPr>
        <w:pStyle w:val="N2"/>
      </w:pPr>
      <w:bookmarkStart w:id="129" w:name="_Ref145701944"/>
      <w:r>
        <w:t>PSE, its officers, agents and employees shall be named as additional insured on all Commercial General Liability, Auto Liability, and Umbrella/Excess Liability insurance policies required by the specifications hereunder to be maintained by or on behalf of Seller.</w:t>
      </w:r>
      <w:bookmarkEnd w:id="129"/>
    </w:p>
    <w:p>
      <w:pPr>
        <w:pStyle w:val="N2"/>
      </w:pPr>
      <w:r>
        <w:t xml:space="preserve">All policies with respect to insurance maintained by Seller shall waive any right of subrogation of the insurers hereunder against PSE, its officers, directors, employees, agents </w:t>
      </w:r>
      <w:r>
        <w:lastRenderedPageBreak/>
        <w:t xml:space="preserve">and representatives of each of them, and any right of the insurers to any setoff or counterclaim or any other deduction, whether by attachment or otherwise, in respect of any liability of any such person insured under such policy.  </w:t>
      </w:r>
    </w:p>
    <w:p>
      <w:pPr>
        <w:pStyle w:val="N2"/>
      </w:pPr>
      <w:r>
        <w:t>All insurance coverage required by this PPA shall be issued by an insurer with an A.M. Best’s rating of not less than “A-VII” or such other insurer as is reasonably acceptable to PSE.</w:t>
      </w:r>
    </w:p>
    <w:p>
      <w:pPr>
        <w:pStyle w:val="N2"/>
      </w:pPr>
      <w:r>
        <w:t>Subject to the continued maintenance of the minimum insurance limits set forth in this Section </w:t>
      </w:r>
      <w:r>
        <w:fldChar w:fldCharType="begin"/>
      </w:r>
      <w:r>
        <w:instrText xml:space="preserve"> REF _docxtools_229 \w \h \t  </w:instrText>
      </w:r>
      <w:r>
        <w:fldChar w:fldCharType="separate"/>
      </w:r>
      <w:r>
        <w:t>19</w:t>
      </w:r>
      <w:r>
        <w:fldChar w:fldCharType="end"/>
      </w:r>
      <w:r>
        <w:t>, Seller, or Seller’s Affiliate, retains the right to make reasonable decisions regarding its insurance and risk financing programs, including insurance terms and conditions, levels of deductibles/retentions and available limits of coverage, based on insurance market conditions, available capacity and/or other events that could impact the Seller’s, or Seller’s Affiliate’s, overall cost of insuring risk.</w:t>
      </w:r>
    </w:p>
    <w:p>
      <w:pPr>
        <w:pStyle w:val="N2"/>
      </w:pPr>
      <w:r>
        <w:t>Seller shall require its insurer(s) to endeavor to notify PSE of any material change in, or cancellation of, the insurance required by this Section </w:t>
      </w:r>
      <w:r>
        <w:fldChar w:fldCharType="begin"/>
      </w:r>
      <w:r>
        <w:instrText xml:space="preserve"> REF _docxtools_229 \w \h \t  </w:instrText>
      </w:r>
      <w:r>
        <w:fldChar w:fldCharType="separate"/>
      </w:r>
      <w:r>
        <w:t>19</w:t>
      </w:r>
      <w:r>
        <w:fldChar w:fldCharType="end"/>
      </w:r>
      <w:r>
        <w:t xml:space="preserve"> at least thirty (30) Days prior to the effective date of such change or cancellation except in the case of non-payment of premiums in which case the notice shall be ten (10) Days or as soon as reasonably known.  </w:t>
      </w:r>
    </w:p>
    <w:p>
      <w:pPr>
        <w:pStyle w:val="N2"/>
      </w:pPr>
      <w:r>
        <w:t>Within fifteen (15) Days after the date hereof, Seller shall provide to PSE and thereafter maintain with PSE a current certificate of insurance verifying the existence of the insurance coverage required by this PPA.</w:t>
      </w:r>
    </w:p>
    <w:p>
      <w:pPr>
        <w:pStyle w:val="N1"/>
        <w:rPr>
          <w:vanish/>
          <w:color w:val="FF0000"/>
          <w:specVanish/>
        </w:rPr>
      </w:pPr>
      <w:bookmarkStart w:id="130" w:name="_Toc138694080"/>
      <w:bookmarkStart w:id="131" w:name="_Toc145698404"/>
      <w:bookmarkStart w:id="132" w:name="_Toc145698463"/>
      <w:bookmarkStart w:id="133" w:name="_Toc166243860"/>
      <w:bookmarkStart w:id="134" w:name="_Toc20755488"/>
      <w:r>
        <w:rPr>
          <w:bCs/>
        </w:rPr>
        <w:t>Labor</w:t>
      </w:r>
      <w:bookmarkStart w:id="135" w:name="_Ref38531838"/>
      <w:bookmarkStart w:id="136" w:name="_Ref38196598"/>
      <w:bookmarkEnd w:id="130"/>
      <w:bookmarkEnd w:id="131"/>
      <w:bookmarkEnd w:id="132"/>
      <w:bookmarkEnd w:id="133"/>
    </w:p>
    <w:p>
      <w:r>
        <w:t>.</w:t>
      </w:r>
    </w:p>
    <w:p>
      <w:pPr>
        <w:pStyle w:val="N2"/>
      </w:pPr>
      <w:bookmarkStart w:id="137" w:name="_Toc138694081"/>
      <w:bookmarkStart w:id="138" w:name="_docxtools_250"/>
      <w:bookmarkStart w:id="139" w:name="_Toc145698405"/>
      <w:bookmarkStart w:id="140" w:name="_Toc145698464"/>
      <w:bookmarkStart w:id="141" w:name="_Toc166243861"/>
      <w:bookmarkEnd w:id="135"/>
      <w:bookmarkEnd w:id="136"/>
      <w:r>
        <w:t>Seller shall satisfy the requirements of Washington House Bill 1589 (“</w:t>
      </w:r>
      <w:r>
        <w:rPr>
          <w:u w:val="single"/>
        </w:rPr>
        <w:t>HB 1589</w:t>
      </w:r>
      <w:r>
        <w:t>”) as related to the Facility. For the avoidance of doubt, satisfying HB 1589 specifically includes the requirement that the Facility will be constructed by a prime contractor and its subcontractors in a way that includes community workforce agreements or project labor agreements and the payment of area standard prevailing wages and apprenticeship utilization requirements.  Seller shall (i) satisfy the Prevailing Wage and Apprenticeship Requirements (as defined as the requirements under Code Sections 45(b)(7) and (8), Code Sections 45Y(g)(9) and (10), Code Sections 48(a)(10) and (11), and Code Sections 48E(d)(3) and (4) and any Prevailing Wage and Apprenticeship Guidance) applicable to the Facility and (ii) execute an engineering, procurement and construction (“</w:t>
      </w:r>
      <w:r>
        <w:rPr>
          <w:u w:val="single"/>
        </w:rPr>
        <w:t>EPC</w:t>
      </w:r>
      <w:r>
        <w:t xml:space="preserve">”) contract for the Facility that complies with Washington Administrative Code, Title 296, Chapter 140, WAC 296-140, which requires that the EPC contractor utilize a Project Labor Agreement, Community Workforce Agreement or Collective Bargaining Agreement (each of which as may be defined or amended in WAC 296-140), as applicable, in a reasonable and customary form, for major construction activities associated with the construction of the Facility.  </w:t>
      </w:r>
    </w:p>
    <w:p>
      <w:pPr>
        <w:pStyle w:val="N2"/>
      </w:pPr>
      <w:r>
        <w:t xml:space="preserve">Seller  shall make a good faith effort to endeavor to hire as direct or indirect subcontractors local workers (such as M/WBE/VETs) during construction of the Facility and as permanent employees or as direct or indirect subcontractors for the operation of the Facility and performance of Seller’s obligations under the terms of this  agreement;  provided  and  only  to  the  extent  that  Seller  or  its Affiliates, as applicable, determine that (i) contracting with </w:t>
      </w:r>
      <w:r>
        <w:lastRenderedPageBreak/>
        <w:t>any such persons to perform such work is cost and schedule effective with respect to the construction  and/or operation of the Facility, (ii) such persons satisfy Seller’s or its Affiliate’s,  as  applicable,  then  current  qualifications,  site  safety  policies, background  screening,  and  (iii)  such  persons  have  obtained  all  applicable certifications that Seller or its Affiliates require.</w:t>
      </w:r>
    </w:p>
    <w:p>
      <w:pPr>
        <w:pStyle w:val="N2"/>
      </w:pPr>
      <w:r>
        <w:t>Notwithstanding the foregoing, Seller shall be responsible to manage relations among Seller, its Affiliates, its contractors and subcontractors and other local workers.</w:t>
      </w:r>
    </w:p>
    <w:p>
      <w:pPr>
        <w:pStyle w:val="N1"/>
        <w:rPr>
          <w:bCs/>
          <w:vanish/>
          <w:color w:val="FF0000"/>
          <w:specVanish/>
        </w:rPr>
      </w:pPr>
      <w:r>
        <w:rPr>
          <w:bCs/>
        </w:rPr>
        <w:t>Equity Reporting Requirements</w:t>
      </w:r>
      <w:bookmarkEnd w:id="137"/>
      <w:bookmarkEnd w:id="138"/>
      <w:bookmarkEnd w:id="139"/>
      <w:bookmarkEnd w:id="140"/>
      <w:bookmarkEnd w:id="141"/>
    </w:p>
    <w:p>
      <w:r>
        <w:t>.</w:t>
      </w:r>
    </w:p>
    <w:p>
      <w:pPr>
        <w:pStyle w:val="N2"/>
      </w:pPr>
      <w:bookmarkStart w:id="142" w:name="_docxtools_252"/>
      <w:r>
        <w:t>Seller shall furnish no later than April 1 of each year and upon PSE’s reasonable request (</w:t>
      </w:r>
      <w:r>
        <w:rPr>
          <w:rFonts w:eastAsia="Calibri"/>
          <w:color w:val="000000" w:themeColor="text1"/>
          <w:szCs w:val="24"/>
        </w:rPr>
        <w:t>but in any event not more than twice annually)</w:t>
      </w:r>
      <w:r>
        <w:t>, a report in the form in Appendix I documenting how it has executed its obligations under this PPA in accordance with the Seller’s CETA Equity Plan.  “</w:t>
      </w:r>
      <w:r>
        <w:rPr>
          <w:u w:val="single"/>
        </w:rPr>
        <w:t>CETA Equity Plan</w:t>
      </w:r>
      <w:r>
        <w:t>” shall mean that portion of Seller’s proposal to PSE’s 2023 Distributed Solar and Storage RFP for the Facility comprising the “CETA Equity Plan” section of “Tab 2a Commercial Details” of the Exhibit B Bid Forms and related supplemental materials, including updates provided by Seller during the request-for-proposal evaluation process following the filing of PSE’s final CEIP.  PSE shall have the right to review and provide feedback (if any) on the report required under this Section </w:t>
      </w:r>
      <w:r>
        <w:fldChar w:fldCharType="begin"/>
      </w:r>
      <w:r>
        <w:instrText xml:space="preserve"> REF _docxtools_252 \w \h \t  </w:instrText>
      </w:r>
      <w:r>
        <w:fldChar w:fldCharType="separate"/>
      </w:r>
      <w:r>
        <w:t>21.1</w:t>
      </w:r>
      <w:r>
        <w:fldChar w:fldCharType="end"/>
      </w:r>
      <w:r>
        <w:t xml:space="preserve">.  This report must include at a minimum </w:t>
      </w:r>
      <w:r>
        <w:rPr>
          <w:rFonts w:eastAsia="Calibri"/>
          <w:color w:val="000000" w:themeColor="text1"/>
          <w:szCs w:val="24"/>
        </w:rPr>
        <w:t xml:space="preserve">the application of the labor standards in RCW 82.08.962 and 82.12.962 and </w:t>
      </w:r>
      <w:r>
        <w:t xml:space="preserve">compliance with </w:t>
      </w:r>
      <w:r>
        <w:rPr>
          <w:rFonts w:eastAsia="Calibri"/>
          <w:color w:val="000000" w:themeColor="text1"/>
          <w:szCs w:val="24"/>
        </w:rPr>
        <w:t xml:space="preserve">WAC 480-107-075; </w:t>
      </w:r>
      <w:r>
        <w:t xml:space="preserve">local tax revenues generated by the Facility; land use payments associated with the Facility; host community payments for those municipalities or other local administrative divisions that host the Facility; activities undertaken to support development of project-related opportunities, including opportunities for women-, minority-, disabled-, and veteran-owned businesses; activities associated with facilitating a clean energy workforce, including job training, career awareness, and educational opportunities; charitable donations; and any other non-energy benefits discussed in the Seller’s CETA Equity Plan.  The report must also describe and document how Seller has implemented commitments it has made it in its CETA Equity Plan and explain any material variation from those commitments.  </w:t>
      </w:r>
      <w:r>
        <w:rPr>
          <w:rFonts w:eastAsia="Calibri"/>
          <w:color w:val="000000" w:themeColor="text1"/>
          <w:szCs w:val="24"/>
        </w:rPr>
        <w:t>Such report shall also include the prior years’ information.</w:t>
      </w:r>
      <w:bookmarkEnd w:id="142"/>
    </w:p>
    <w:p>
      <w:pPr>
        <w:pStyle w:val="N2"/>
        <w:rPr>
          <w:rStyle w:val="normaltextrun"/>
        </w:rPr>
      </w:pPr>
      <w:bookmarkStart w:id="143" w:name="_Ref118294011"/>
      <w:r>
        <w:t>The report required pursuant to Section </w:t>
      </w:r>
      <w:r>
        <w:fldChar w:fldCharType="begin"/>
      </w:r>
      <w:r>
        <w:instrText xml:space="preserve"> REF _docxtools_252 \w \h \t  </w:instrText>
      </w:r>
      <w:r>
        <w:fldChar w:fldCharType="separate"/>
      </w:r>
      <w:r>
        <w:t>21.1</w:t>
      </w:r>
      <w:r>
        <w:fldChar w:fldCharType="end"/>
      </w:r>
      <w:r>
        <w:t xml:space="preserve"> also must include, at a minimum, the reporting of metrics associated with the customer benefit indicator “increase in quality and quantity of clean energy jobs” </w:t>
      </w:r>
      <w:r>
        <w:rPr>
          <w:rStyle w:val="normaltextrun"/>
          <w:rFonts w:cstheme="minorHAnsi"/>
        </w:rPr>
        <w:t>in PSE’s 2021 Clean Energy Implementation Plan (“</w:t>
      </w:r>
      <w:r>
        <w:rPr>
          <w:rStyle w:val="normaltextrun"/>
          <w:rFonts w:cstheme="minorHAnsi"/>
          <w:u w:val="single"/>
        </w:rPr>
        <w:t>CEIP</w:t>
      </w:r>
      <w:r>
        <w:rPr>
          <w:rStyle w:val="normaltextrun"/>
          <w:rFonts w:cstheme="minorHAnsi"/>
        </w:rPr>
        <w:t xml:space="preserve">”).  The metrics provided must include, at a minimum, the number of jobs created by the project; the number of local workers; the number of part-time and full-time jobs; the range of wages paid to workers; the extent to which additional benefits are offered; the use of apprenticeship labor; the demographics of workers, and any other relevant metrics or information that relates to the quality or quantity of jobs associated with the project.  Indicators and metrics may change based on  the results of PSE’s 2023 Biennial CEIP and subsequent CEIPs, at which time </w:t>
      </w:r>
      <w:r>
        <w:t>PSE</w:t>
      </w:r>
      <w:r>
        <w:rPr>
          <w:rStyle w:val="normaltextrun"/>
          <w:rFonts w:cstheme="minorHAnsi"/>
        </w:rPr>
        <w:t xml:space="preserve"> will inform Seller</w:t>
      </w:r>
      <w:r>
        <w:rPr>
          <w:rStyle w:val="normaltextrun"/>
        </w:rPr>
        <w:t>, and Seller shall reasonably cooperate to revise indicators and metrics as necessary.</w:t>
      </w:r>
      <w:bookmarkEnd w:id="143"/>
      <w:r>
        <w:rPr>
          <w:rStyle w:val="normaltextrun"/>
        </w:rPr>
        <w:t xml:space="preserve">  </w:t>
      </w:r>
    </w:p>
    <w:p>
      <w:pPr>
        <w:pStyle w:val="N2"/>
      </w:pPr>
      <w:r>
        <w:t xml:space="preserve">Throughout the development, construction, and operation of the Facility, Seller will continue to conduct stakeholder and community engagement to inform the public about activities </w:t>
      </w:r>
      <w:r>
        <w:lastRenderedPageBreak/>
        <w:t>being undertaken by Seller related to the Facility and gain community and stakeholder input on how these activities can benefit or how burdens can be reduced in these communities; such activities should be, but are not limited to:  early contact with county officials and community leaders, town halls to discuss the project in an open forum, a website to provide relevant updates, a news release in the local paper detailing economic benefits and ads placed that include Seller contact information, and special attention should be paid to inform neighbors of the Facility.  Any homes within 300 feet of the Facility footprint should be informed through either door knocks, mailings or other direct communications.</w:t>
      </w:r>
    </w:p>
    <w:p>
      <w:pPr>
        <w:pStyle w:val="N2"/>
      </w:pPr>
      <w:r>
        <w:t>Seller will provide updates to PSE on stakeholder and community engagement activities undertaken to support the Facility, along with feedback provided by communities and other stakeholders, Seller’s reasonable attempts to address this feedback, and plans for future engagement activities.  Seller will provide these updates on a semi-annual basis until the commercial operation of the Facility has been achieved, and following commercial operation upon PSE’s reasonable request, and not more than once annually by April 1.</w:t>
      </w:r>
    </w:p>
    <w:p>
      <w:pPr>
        <w:pStyle w:val="N2"/>
      </w:pPr>
      <w:r>
        <w:t>In its reporting and updates described in this Section </w:t>
      </w:r>
      <w:r>
        <w:fldChar w:fldCharType="begin"/>
      </w:r>
      <w:r>
        <w:instrText xml:space="preserve"> REF _docxtools_250 \w \h \t  </w:instrText>
      </w:r>
      <w:r>
        <w:fldChar w:fldCharType="separate"/>
      </w:r>
      <w:r>
        <w:t>21</w:t>
      </w:r>
      <w:r>
        <w:fldChar w:fldCharType="end"/>
      </w:r>
      <w:r>
        <w:t>, Seller will use its best efforts to present metrics, benefits and burdens that specifically apply to Highly Impacted Communities and Vulnerable Populations as they are defined in WAC 480-100-605 and according to the criteria in PSE’s CEIP.  PSE will provide feedback and guidance to Seller on the methodology Seller uses for tracking those metrics, benefits and burdens.  For projects located outside of Washington State, Seller will use it best efforts to present metrics, benefits and burdens based disadvantaged communities defined and identified in the Climate and Economic Justice Screening Tool (CEJST) created by the Council on Environmental Quality as directed by Executive Order 14008 on Tackling the Climate Crises at Home and Abroad.</w:t>
      </w:r>
      <w:bookmarkStart w:id="144" w:name="_Toc260903741"/>
      <w:bookmarkStart w:id="145" w:name="_Toc265156330"/>
      <w:bookmarkStart w:id="146" w:name="_Toc163265120"/>
      <w:bookmarkStart w:id="147" w:name="_Toc478477749"/>
      <w:bookmarkStart w:id="148" w:name="_Ref510010845"/>
      <w:bookmarkStart w:id="149" w:name="_Ref510011303"/>
      <w:bookmarkStart w:id="150" w:name="_Ref510012207"/>
      <w:bookmarkStart w:id="151" w:name="_Ref510012398"/>
      <w:bookmarkStart w:id="152" w:name="_Toc510016020"/>
      <w:bookmarkEnd w:id="134"/>
    </w:p>
    <w:p>
      <w:pPr>
        <w:pStyle w:val="N1"/>
        <w:rPr>
          <w:vanish/>
          <w:color w:val="FF0000"/>
          <w:specVanish/>
        </w:rPr>
      </w:pPr>
      <w:bookmarkStart w:id="153" w:name="_Toc145698406"/>
      <w:bookmarkStart w:id="154" w:name="_Toc145698465"/>
      <w:bookmarkStart w:id="155" w:name="_Toc166243862"/>
      <w:bookmarkEnd w:id="144"/>
      <w:bookmarkEnd w:id="145"/>
      <w:bookmarkEnd w:id="146"/>
      <w:bookmarkEnd w:id="147"/>
      <w:bookmarkEnd w:id="148"/>
      <w:bookmarkEnd w:id="149"/>
      <w:bookmarkEnd w:id="150"/>
      <w:bookmarkEnd w:id="151"/>
      <w:bookmarkEnd w:id="152"/>
      <w:r>
        <w:rPr>
          <w:bCs/>
        </w:rPr>
        <w:t>Records and Inspection</w:t>
      </w:r>
      <w:bookmarkEnd w:id="153"/>
      <w:bookmarkEnd w:id="154"/>
      <w:bookmarkEnd w:id="155"/>
    </w:p>
    <w:p>
      <w:r>
        <w:t>.  Seller shall maintain, and PSE shall have access to upon request, all records and data pertaining to the performance and management of this Agreement, including in their original form, all (i) documents created by or provided to Seller in the ordinary course of business for the Facility, (ii) documents for billing, costs, metering, and Environmental Attributes, (iii) books, records, documents, reports, deliverables, accounting procedures and practices, and (iv) records of transactions.  Such records and data shall be retained, and shall be subject to examination by PSE, for a period of not less than four (4) years following final payment made by PSE hereunder as it relates to a particular payment obligation, four (4) years after the expiration or termination date of this PPA, or final settlement of all disputes, claims, or litigation that authorizes the records to no longer be retained, or the retention period under Applicable Law, whichever is later.  Seller shall make such records and data available to PSE at Seller’s principal business office or any other of Seller’s offices as mutually agreed upon by PSE and Seller, at all reasonable times and without charge.</w:t>
      </w:r>
    </w:p>
    <w:p>
      <w:pPr>
        <w:pStyle w:val="N1"/>
        <w:keepNext/>
        <w:keepLines/>
        <w:rPr>
          <w:vanish/>
          <w:color w:val="FF0000"/>
          <w:specVanish/>
        </w:rPr>
      </w:pPr>
      <w:bookmarkStart w:id="156" w:name="_Toc145698407"/>
      <w:bookmarkStart w:id="157" w:name="_Toc145698466"/>
      <w:bookmarkStart w:id="158" w:name="_Toc166243863"/>
      <w:r>
        <w:t>Miscellaneous</w:t>
      </w:r>
      <w:bookmarkEnd w:id="156"/>
      <w:bookmarkEnd w:id="157"/>
      <w:bookmarkEnd w:id="158"/>
    </w:p>
    <w:p>
      <w:r>
        <w:t xml:space="preserve">.  </w:t>
      </w:r>
    </w:p>
    <w:p>
      <w:pPr>
        <w:pStyle w:val="N2"/>
      </w:pPr>
      <w:bookmarkStart w:id="159" w:name="_Ref140339675"/>
      <w:r>
        <w:rPr>
          <w:b/>
        </w:rPr>
        <w:t>Public Statements; Press Releases</w:t>
      </w:r>
      <w:r>
        <w:t xml:space="preserve">.  Seller will not issue any public statement, press release, internet/website/social media posting, or other publication concerning (a) the Facility with respect to this PPA, or (b) Seller’s relationship with PSE without such communication first being reviewed and agreed upon by the Parties before release to the public.  </w:t>
      </w:r>
      <w:bookmarkStart w:id="160" w:name="OLE_LINK3"/>
      <w:r>
        <w:t xml:space="preserve">In addition, </w:t>
      </w:r>
      <w:r>
        <w:lastRenderedPageBreak/>
        <w:t xml:space="preserve">Seller is responsible for ensuring that its </w:t>
      </w:r>
      <w:bookmarkStart w:id="161" w:name="OLE_LINK2"/>
      <w:r>
        <w:t xml:space="preserve">contractors, Affiliates, and each of their respective employees, contractors, and agents </w:t>
      </w:r>
      <w:bookmarkEnd w:id="161"/>
      <w:r>
        <w:t xml:space="preserve">fully comply with this </w:t>
      </w:r>
      <w:r>
        <w:rPr>
          <w:u w:val="single"/>
        </w:rPr>
        <w:t>Section </w:t>
      </w:r>
      <w:r>
        <w:rPr>
          <w:u w:val="single"/>
        </w:rPr>
        <w:fldChar w:fldCharType="begin"/>
      </w:r>
      <w:r>
        <w:rPr>
          <w:u w:val="single"/>
        </w:rPr>
        <w:instrText xml:space="preserve"> REF _Ref140339675 \w \h  \* MERGEFORMAT </w:instrText>
      </w:r>
      <w:r>
        <w:rPr>
          <w:u w:val="single"/>
        </w:rPr>
      </w:r>
      <w:r>
        <w:rPr>
          <w:u w:val="single"/>
        </w:rPr>
        <w:fldChar w:fldCharType="separate"/>
      </w:r>
      <w:r>
        <w:rPr>
          <w:u w:val="single"/>
        </w:rPr>
        <w:t>23.1</w:t>
      </w:r>
      <w:r>
        <w:rPr>
          <w:u w:val="single"/>
        </w:rPr>
        <w:fldChar w:fldCharType="end"/>
      </w:r>
      <w:r>
        <w:t>.</w:t>
      </w:r>
      <w:bookmarkEnd w:id="159"/>
      <w:bookmarkEnd w:id="160"/>
    </w:p>
    <w:p>
      <w:pPr>
        <w:pStyle w:val="N2"/>
      </w:pPr>
      <w:r>
        <w:rPr>
          <w:b/>
        </w:rPr>
        <w:t>Photographs</w:t>
      </w:r>
      <w:r>
        <w:t>.  Within five (5) Business Days following PSE’s request, Seller must provide PSE with photographs of the Facility or Site, which may be used by PSE for verification of Seller’s compliance with this PPA, for informational purposes, and for promoting awareness of PSE’s renewable programs.</w:t>
      </w:r>
    </w:p>
    <w:p>
      <w:pPr>
        <w:pStyle w:val="N2"/>
      </w:pPr>
      <w:r>
        <w:rPr>
          <w:b/>
        </w:rPr>
        <w:t>Interpretation</w:t>
      </w:r>
      <w:r>
        <w:t>.  In this PPA and in all attached or incorporated documents:  (i) whenever the term “including” or “e.g.” is used herein, in connection with a listing of items included within or an example of the prior reference, such listing will be interpreted to be illustrative only, and will not be interpreted as a limitation on or exclusive listing of the items included in the prior reference; and (ii) “or” means either or both (i.e., “A or B” means “A or B or both A and B”).  Unless otherwise specified, a reference to a given agreement or instrument, and all the schedules, exhibits, and appendices thereto, will be a reference to that agreement or instrument as modified, amended, supplemented and restated, and in effect from time to time.  Whenever the term “consent” or “approval” is used, such consent or approval will not be unreasonably withheld, conditioned or delayed by the consenting or approving Party, unless this PPA provides such consent or approval is in the sole discretion of the consenting Party.  Defined terms may be singular or plural, as the context requires.  If the Party has provided email contact information, “written” or “in writing” includes email communication, absent express statement otherwise.  Reference to:  (a) a Party or Person includes any allowed successor or assign; (b) a regulatory authority includes an authority succeeding to the same function; and (c) an Applicable Law is to the law as modified or amended, and then effective.  Captions are for convenience only and do not affect PPA interpretation.</w:t>
      </w:r>
    </w:p>
    <w:p>
      <w:pPr>
        <w:pStyle w:val="N2"/>
      </w:pPr>
      <w:r>
        <w:rPr>
          <w:b/>
        </w:rPr>
        <w:t>No Waiver</w:t>
      </w:r>
      <w:r>
        <w:t>.  Neither PSE’s nor Seller’s failure to enforce any provision or provisions of this PPA will in any way be construed as a waiver of any such provision as to any future violation thereof, nor prevent such Party from enforcing each and every other provision of this PPA at such time or at any time thereafter.</w:t>
      </w:r>
    </w:p>
    <w:p>
      <w:pPr>
        <w:pStyle w:val="N2"/>
      </w:pPr>
      <w:r>
        <w:rPr>
          <w:b/>
        </w:rPr>
        <w:t>Governing Law</w:t>
      </w:r>
      <w:r>
        <w:t>.  The validity, interpretation, and performance of this PPA, and each of its provisions, and all matters, including torts, arising under this PPA, will be governed by the laws of the state of Washington, without reference to any conflicts of law provisions that would require the application of the laws of another state.  The Parties agree that the state and federal courts, as applicable, of the state of Washington will have exclusive jurisdiction for the resolution of disputes under this PPA and the Parties consent to such jurisdiction and venue and, to the fullest extent allowed by Applicable Law, waive any objection to this jurisdiction or venue.  The invalidity or unenforceability of one or more provisions will not affect validity or enforceability of any other provision or of this PPA as a whole.</w:t>
      </w:r>
    </w:p>
    <w:p>
      <w:pPr>
        <w:pStyle w:val="N2"/>
      </w:pPr>
      <w:r>
        <w:rPr>
          <w:b/>
        </w:rPr>
        <w:t>Compliance with Law</w:t>
      </w:r>
      <w:r>
        <w:t>.  Seller agrees that from the Execution Date and throughout the Term, Seller must comply with all Applicable Law.</w:t>
      </w:r>
    </w:p>
    <w:p>
      <w:pPr>
        <w:pStyle w:val="N2"/>
      </w:pPr>
      <w:r>
        <w:rPr>
          <w:b/>
        </w:rPr>
        <w:t>Entire Agreement</w:t>
      </w:r>
      <w:r>
        <w:t xml:space="preserve">.  This PPA (including </w:t>
      </w:r>
      <w:r>
        <w:rPr>
          <w:u w:val="single"/>
        </w:rPr>
        <w:t>Appendices A</w:t>
      </w:r>
      <w:r>
        <w:t xml:space="preserve"> through </w:t>
      </w:r>
      <w:r>
        <w:rPr>
          <w:u w:val="single"/>
        </w:rPr>
        <w:t>H</w:t>
      </w:r>
      <w:r>
        <w:t xml:space="preserve">) constitutes the entire understanding between the Parties and supersedes any previous agreements between the Parties regarding the purchase and sale of Solar Output and other Attributes from the Facility.  </w:t>
      </w:r>
      <w:r>
        <w:lastRenderedPageBreak/>
        <w:t>The Parties have entered into this PPA in reliance upon the representations and mutual undertakings contained herein and not in reliance upon any oral or written representations or information provided by one Party to the other Party not contained or incorporated herein.  This PPA will be construed as if drafted jointly by the Parties, and no presumption or burden of proof will arise favoring or disfavoring any Party by virtue of the authorship of any provision of this PPA.  Each appendix, or other document attached to or referenced in this PPA is incorporated into, and is integral to, this PPA as if included in the main body.</w:t>
      </w:r>
    </w:p>
    <w:p>
      <w:pPr>
        <w:pStyle w:val="N2"/>
      </w:pPr>
      <w:r>
        <w:rPr>
          <w:b/>
        </w:rPr>
        <w:t>Counterparts</w:t>
      </w:r>
      <w:r>
        <w:t>.  This PPA may be executed in two (2) counterparts and by electronic transmission of signatures in portable document format (PDF) or other electronic format, each of which will be deemed an original but all of which together will constitute one and the same instrument.</w:t>
      </w:r>
    </w:p>
    <w:p>
      <w:pPr>
        <w:pStyle w:val="N2"/>
      </w:pPr>
      <w:bookmarkStart w:id="162" w:name="_docxtools_268"/>
      <w:bookmarkStart w:id="163" w:name="_Ref140340996"/>
      <w:r>
        <w:rPr>
          <w:b/>
          <w:bCs/>
        </w:rPr>
        <w:t>Confidentiality</w:t>
      </w:r>
      <w:r>
        <w:t xml:space="preserve">.  </w:t>
      </w:r>
      <w:bookmarkStart w:id="164" w:name="OLE_LINK26"/>
      <w:proofErr w:type="gramStart"/>
      <w:r>
        <w:t>Neither Party shall disclose the terms or conditions of this PPA, or</w:t>
      </w:r>
      <w:proofErr w:type="gramEnd"/>
      <w:r>
        <w:t xml:space="preserve"> any confidential information of the other Party disclosed by such other Party to such Party, directly or indirectly, in connection with the exercise of its rights or the performance of its obligations hereunder, to a third party, other than as mutually agreed upon by the Parties.  </w:t>
      </w:r>
      <w:r>
        <w:rPr>
          <w:color w:val="000000"/>
        </w:rPr>
        <w:t xml:space="preserve">The Parties mutually agree that each Party may disclose the terms or conditions of this PPA, to such Party’s attorney, accountant, financial advisor and any existing or prospective mortgagee, lessee, or purchaser for the sole purpose of evaluating and advising such Party and for no other purpose, so long as such authorized parties agree in writing to become subject to the confidentiality provisions hereto and not to provide copies of the PPA or disclose the terms thereof to any unauthorized person or entity.  </w:t>
      </w:r>
      <w:r>
        <w:t xml:space="preserve">In addition, each Party is responsible for ensuring that its contractors, Affiliates, and each of their respective employees, contractors, and agents fully comply with this </w:t>
      </w:r>
      <w:r>
        <w:rPr>
          <w:u w:val="single"/>
        </w:rPr>
        <w:t>Section </w:t>
      </w:r>
      <w:r>
        <w:rPr>
          <w:u w:val="single"/>
        </w:rPr>
        <w:fldChar w:fldCharType="begin"/>
      </w:r>
      <w:r>
        <w:rPr>
          <w:u w:val="single"/>
        </w:rPr>
        <w:instrText xml:space="preserve"> REF _docxtools_268 \w \h \t  </w:instrText>
      </w:r>
      <w:r>
        <w:rPr>
          <w:u w:val="single"/>
        </w:rPr>
      </w:r>
      <w:r>
        <w:rPr>
          <w:u w:val="single"/>
        </w:rPr>
        <w:fldChar w:fldCharType="separate"/>
      </w:r>
      <w:r>
        <w:rPr>
          <w:u w:val="single"/>
        </w:rPr>
        <w:t>23.9</w:t>
      </w:r>
      <w:r>
        <w:rPr>
          <w:u w:val="single"/>
        </w:rPr>
        <w:fldChar w:fldCharType="end"/>
      </w:r>
      <w:r>
        <w:t xml:space="preserve">.  Notwithstanding anything to the contrary herein, PSE shall be entitled to disclose to any governmental authority (including, without limitation, the Washington Utilities and Transportation Commission and the Federal Energy Regulatory Commission) as a matter of right:  (a) without seeking any confidential treatment therefor, Seller’s name, the type, nature and general description of the PPA’s terms, and amount and type of energy, capacity, and other products and services under contract pursuant to this PPA, and (b) the full terms and conditions of this PPA and any other confidential information of either Party hereunder to a governmental authority, provided that PSE requests confidential treatment therefor.  </w:t>
      </w:r>
      <w:bookmarkEnd w:id="162"/>
      <w:bookmarkEnd w:id="164"/>
    </w:p>
    <w:p>
      <w:pPr>
        <w:pStyle w:val="N2"/>
      </w:pPr>
      <w:bookmarkStart w:id="165" w:name="_docxtools_269"/>
      <w:r>
        <w:rPr>
          <w:b/>
        </w:rPr>
        <w:t>Notices</w:t>
      </w:r>
      <w:r>
        <w:t xml:space="preserve">.  All notices, requests, consents, claims, demands, waivers and other communications hereunder must be in writing and will be deemed to have been given (a) when delivered by hand (with written confirmation of receipt); (b) when received by the addressee if sent by a nationally recognized overnight courier (receipt requested); (c) on the date sent by electronic transmission (including by e-mail) if sent during normal business hours of the recipient, and on the next Business Day if sent after normal business hours of the recipient, or (d) on the third (3rd) Day after the date mailed, by certified or registered mail, return receipt requested, postage prepaid.  Such communication must be sent to the respective Parties at the applicable addresses set forth in </w:t>
      </w:r>
      <w:r>
        <w:fldChar w:fldCharType="begin"/>
      </w:r>
      <w:r>
        <w:instrText xml:space="preserve"> REF _docxtools_392 \n \h </w:instrText>
      </w:r>
      <w:r>
        <w:fldChar w:fldCharType="separate"/>
      </w:r>
      <w:r>
        <w:t>Section 5</w:t>
      </w:r>
      <w:r>
        <w:fldChar w:fldCharType="end"/>
      </w:r>
      <w:r>
        <w:t xml:space="preserve"> of </w:t>
      </w:r>
      <w:r>
        <w:rPr>
          <w:u w:val="single"/>
        </w:rPr>
        <w:fldChar w:fldCharType="begin"/>
      </w:r>
      <w:r>
        <w:rPr>
          <w:u w:val="single"/>
        </w:rPr>
        <w:instrText xml:space="preserve"> REF _docxtools_290 \w \h  </w:instrText>
      </w:r>
      <w:r>
        <w:rPr>
          <w:u w:val="single"/>
        </w:rPr>
      </w:r>
      <w:r>
        <w:rPr>
          <w:u w:val="single"/>
        </w:rPr>
        <w:fldChar w:fldCharType="separate"/>
      </w:r>
      <w:r>
        <w:rPr>
          <w:u w:val="single"/>
        </w:rPr>
        <w:t>Appendix A</w:t>
      </w:r>
      <w:r>
        <w:rPr>
          <w:u w:val="single"/>
        </w:rPr>
        <w:fldChar w:fldCharType="end"/>
      </w:r>
      <w:r>
        <w:t xml:space="preserve">, unless Seller or PSE have designated a different officer or address by electronic mail, posting or hand delivery to the address set forth in </w:t>
      </w:r>
      <w:r>
        <w:fldChar w:fldCharType="begin"/>
      </w:r>
      <w:r>
        <w:instrText xml:space="preserve"> REF _docxtools_392 \n \h </w:instrText>
      </w:r>
      <w:r>
        <w:fldChar w:fldCharType="separate"/>
      </w:r>
      <w:r>
        <w:t>Section 5</w:t>
      </w:r>
      <w:r>
        <w:fldChar w:fldCharType="end"/>
      </w:r>
      <w:r>
        <w:t xml:space="preserve"> of </w:t>
      </w:r>
      <w:r>
        <w:rPr>
          <w:u w:val="single"/>
        </w:rPr>
        <w:fldChar w:fldCharType="begin"/>
      </w:r>
      <w:r>
        <w:rPr>
          <w:u w:val="single"/>
        </w:rPr>
        <w:instrText xml:space="preserve"> REF _docxtools_290 \w \h  </w:instrText>
      </w:r>
      <w:r>
        <w:rPr>
          <w:u w:val="single"/>
        </w:rPr>
      </w:r>
      <w:r>
        <w:rPr>
          <w:u w:val="single"/>
        </w:rPr>
        <w:fldChar w:fldCharType="separate"/>
      </w:r>
      <w:r>
        <w:rPr>
          <w:u w:val="single"/>
        </w:rPr>
        <w:t>Appendix A</w:t>
      </w:r>
      <w:r>
        <w:rPr>
          <w:u w:val="single"/>
        </w:rPr>
        <w:fldChar w:fldCharType="end"/>
      </w:r>
      <w:r>
        <w:t>.</w:t>
      </w:r>
      <w:bookmarkEnd w:id="163"/>
      <w:bookmarkEnd w:id="165"/>
      <w:r>
        <w:t xml:space="preserve">  </w:t>
      </w:r>
    </w:p>
    <w:p>
      <w:pPr>
        <w:pStyle w:val="N2"/>
      </w:pPr>
      <w:r>
        <w:rPr>
          <w:b/>
        </w:rPr>
        <w:lastRenderedPageBreak/>
        <w:t>No Third-Party Beneficiary</w:t>
      </w:r>
      <w:r>
        <w:t>.  Nothing in this PPA will be construed to create any duty, obligation, or liability of PSE to any Person or entity not a party to this PPA.  No Affiliate of PSE is liable for PSE’s performance or nonperformance.</w:t>
      </w:r>
    </w:p>
    <w:p>
      <w:pPr>
        <w:pStyle w:val="N2"/>
      </w:pPr>
      <w:r>
        <w:rPr>
          <w:b/>
        </w:rPr>
        <w:t>Further Assurances</w:t>
      </w:r>
      <w:r>
        <w:t>.  Seller agrees to use diligent efforts to promptly execute any other agreements (including amendments to this PPA) as may be requested by PSE in connection with the purposes of this PPA.</w:t>
      </w:r>
    </w:p>
    <w:p>
      <w:pPr>
        <w:pStyle w:val="N2"/>
      </w:pPr>
      <w:bookmarkStart w:id="166" w:name="_Ref140339795"/>
      <w:bookmarkStart w:id="167" w:name="_docxtools_272"/>
      <w:r>
        <w:rPr>
          <w:b/>
        </w:rPr>
        <w:t>Survival of Rights</w:t>
      </w:r>
      <w:r>
        <w:t>.  All provisions of this PPA that expressly or by implication are in force and effect following the expiration or termination of this PPA will remain in effect and be enforceable following such expiration or termination, including all provisions of this PPA that must survive in order to give force and effect to the rights and obligations of the Parties under this PPA.  Expiration or termination of this PPA will not relieve either Party of its liabilities or obligations that accrue prior to or at termination, and such liabilities and obligations will survive termination of this PPA.</w:t>
      </w:r>
      <w:bookmarkEnd w:id="166"/>
      <w:bookmarkEnd w:id="167"/>
    </w:p>
    <w:p>
      <w:pPr>
        <w:pStyle w:val="Center"/>
      </w:pPr>
      <w:r>
        <w:t>[</w:t>
      </w:r>
      <w:r>
        <w:rPr>
          <w:i/>
          <w:iCs/>
        </w:rPr>
        <w:t>SIGNATURE PAGE FOLLOWS</w:t>
      </w:r>
      <w:r>
        <w:t>]</w:t>
      </w:r>
    </w:p>
    <w:p>
      <w:pPr>
        <w:pStyle w:val="Center"/>
        <w:sectPr>
          <w:footerReference w:type="default" r:id="rId15"/>
          <w:footerReference w:type="first" r:id="rId16"/>
          <w:pgSz w:w="12240" w:h="15840"/>
          <w:pgMar w:top="1440" w:right="1440" w:bottom="1440" w:left="1440" w:header="720" w:footer="720" w:gutter="0"/>
          <w:pgNumType w:start="1"/>
          <w:cols w:space="720"/>
          <w:titlePg/>
          <w:docGrid w:linePitch="360"/>
        </w:sectPr>
      </w:pPr>
    </w:p>
    <w:p>
      <w:pPr>
        <w:spacing w:after="480"/>
      </w:pPr>
      <w:r>
        <w:lastRenderedPageBreak/>
        <w:t>IN WITNESS WHEREOF, Seller and PSE have caused this PPA to be executed by their duly authorized representatives as of the Execution 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tc>
          <w:tcPr>
            <w:tcW w:w="4675" w:type="dxa"/>
          </w:tcPr>
          <w:p>
            <w:pPr>
              <w:spacing w:after="360"/>
              <w:ind w:firstLine="0"/>
              <w:rPr>
                <w:b/>
              </w:rPr>
            </w:pPr>
            <w:r>
              <w:rPr>
                <w:b/>
              </w:rPr>
              <w:t>PSE:</w:t>
            </w:r>
          </w:p>
          <w:p>
            <w:pPr>
              <w:spacing w:after="360"/>
              <w:ind w:firstLine="0"/>
              <w:rPr>
                <w:b/>
              </w:rPr>
            </w:pPr>
            <w:r>
              <w:rPr>
                <w:b/>
              </w:rPr>
              <w:t>PUGET SOUND ENERGY, INC.</w:t>
            </w:r>
          </w:p>
        </w:tc>
        <w:tc>
          <w:tcPr>
            <w:tcW w:w="4675" w:type="dxa"/>
          </w:tcPr>
          <w:p>
            <w:pPr>
              <w:spacing w:after="360"/>
              <w:ind w:firstLine="0"/>
              <w:rPr>
                <w:b/>
              </w:rPr>
            </w:pPr>
            <w:r>
              <w:rPr>
                <w:b/>
              </w:rPr>
              <w:t>SELLER:</w:t>
            </w:r>
          </w:p>
          <w:p>
            <w:pPr>
              <w:tabs>
                <w:tab w:val="right" w:pos="3919"/>
              </w:tabs>
              <w:spacing w:after="360"/>
              <w:ind w:firstLine="0"/>
              <w:rPr>
                <w:b/>
              </w:rPr>
            </w:pPr>
            <w:r>
              <w:rPr>
                <w:b/>
              </w:rPr>
              <w:t>[]</w:t>
            </w:r>
          </w:p>
        </w:tc>
      </w:tr>
      <w:tr>
        <w:tc>
          <w:tcPr>
            <w:tcW w:w="4675" w:type="dxa"/>
          </w:tcPr>
          <w:p>
            <w:pPr>
              <w:tabs>
                <w:tab w:val="right" w:pos="4298"/>
              </w:tabs>
              <w:spacing w:before="840" w:after="0"/>
              <w:ind w:firstLine="0"/>
              <w:rPr>
                <w:u w:val="single"/>
              </w:rPr>
            </w:pPr>
            <w:r>
              <w:rPr>
                <w:u w:val="single"/>
              </w:rPr>
              <w:tab/>
            </w:r>
          </w:p>
        </w:tc>
        <w:tc>
          <w:tcPr>
            <w:tcW w:w="4675" w:type="dxa"/>
          </w:tcPr>
          <w:p>
            <w:pPr>
              <w:tabs>
                <w:tab w:val="right" w:pos="4300"/>
              </w:tabs>
              <w:spacing w:before="840" w:after="0"/>
              <w:ind w:firstLine="0"/>
              <w:rPr>
                <w:u w:val="single"/>
              </w:rPr>
            </w:pPr>
            <w:r>
              <w:rPr>
                <w:u w:val="single"/>
              </w:rPr>
              <w:tab/>
            </w:r>
          </w:p>
        </w:tc>
      </w:tr>
      <w:tr>
        <w:tc>
          <w:tcPr>
            <w:tcW w:w="4675" w:type="dxa"/>
          </w:tcPr>
          <w:p>
            <w:pPr>
              <w:tabs>
                <w:tab w:val="right" w:pos="4298"/>
              </w:tabs>
              <w:spacing w:before="240" w:after="0"/>
              <w:ind w:firstLine="0"/>
              <w:rPr>
                <w:u w:val="single"/>
              </w:rPr>
            </w:pPr>
            <w:r>
              <w:t>Name: </w:t>
            </w:r>
            <w:r>
              <w:rPr>
                <w:u w:val="single"/>
              </w:rPr>
              <w:tab/>
            </w:r>
          </w:p>
        </w:tc>
        <w:tc>
          <w:tcPr>
            <w:tcW w:w="4675" w:type="dxa"/>
          </w:tcPr>
          <w:p>
            <w:pPr>
              <w:tabs>
                <w:tab w:val="right" w:pos="4300"/>
              </w:tabs>
              <w:spacing w:before="240" w:after="0"/>
              <w:ind w:firstLine="0"/>
              <w:rPr>
                <w:u w:val="single"/>
              </w:rPr>
            </w:pPr>
            <w:r>
              <w:t>Name: </w:t>
            </w:r>
            <w:r>
              <w:rPr>
                <w:u w:val="single"/>
              </w:rPr>
              <w:tab/>
            </w:r>
          </w:p>
        </w:tc>
      </w:tr>
      <w:tr>
        <w:tc>
          <w:tcPr>
            <w:tcW w:w="4675" w:type="dxa"/>
          </w:tcPr>
          <w:p>
            <w:pPr>
              <w:tabs>
                <w:tab w:val="right" w:pos="4298"/>
              </w:tabs>
              <w:spacing w:before="240" w:after="0"/>
              <w:ind w:firstLine="0"/>
              <w:rPr>
                <w:u w:val="single"/>
              </w:rPr>
            </w:pPr>
            <w:r>
              <w:t>Title: </w:t>
            </w:r>
            <w:r>
              <w:rPr>
                <w:u w:val="single"/>
              </w:rPr>
              <w:tab/>
            </w:r>
          </w:p>
          <w:p>
            <w:pPr>
              <w:tabs>
                <w:tab w:val="right" w:pos="4298"/>
              </w:tabs>
              <w:spacing w:before="240" w:after="0"/>
              <w:ind w:firstLine="0"/>
              <w:rPr>
                <w:u w:val="single"/>
              </w:rPr>
            </w:pPr>
            <w:r>
              <w:t>Date: </w:t>
            </w:r>
            <w:r>
              <w:rPr>
                <w:u w:val="single"/>
              </w:rPr>
              <w:tab/>
            </w:r>
          </w:p>
        </w:tc>
        <w:tc>
          <w:tcPr>
            <w:tcW w:w="4675" w:type="dxa"/>
          </w:tcPr>
          <w:p>
            <w:pPr>
              <w:tabs>
                <w:tab w:val="right" w:pos="4300"/>
              </w:tabs>
              <w:spacing w:before="240" w:after="0"/>
              <w:ind w:firstLine="0"/>
              <w:rPr>
                <w:u w:val="single"/>
              </w:rPr>
            </w:pPr>
            <w:r>
              <w:t>Title: </w:t>
            </w:r>
            <w:r>
              <w:rPr>
                <w:u w:val="single"/>
              </w:rPr>
              <w:tab/>
            </w:r>
          </w:p>
          <w:p>
            <w:pPr>
              <w:tabs>
                <w:tab w:val="right" w:pos="4300"/>
              </w:tabs>
              <w:spacing w:before="240" w:after="0"/>
              <w:ind w:firstLine="0"/>
              <w:rPr>
                <w:u w:val="single"/>
              </w:rPr>
            </w:pPr>
            <w:r>
              <w:t>Date: </w:t>
            </w:r>
            <w:r>
              <w:rPr>
                <w:u w:val="single"/>
              </w:rPr>
              <w:tab/>
            </w:r>
          </w:p>
        </w:tc>
      </w:tr>
    </w:tbl>
    <w:p>
      <w:pPr>
        <w:sectPr>
          <w:headerReference w:type="first" r:id="rId17"/>
          <w:footerReference w:type="first" r:id="rId18"/>
          <w:pgSz w:w="12240" w:h="15840"/>
          <w:pgMar w:top="1440" w:right="1440" w:bottom="1440" w:left="1440" w:header="720" w:footer="720" w:gutter="0"/>
          <w:cols w:space="720"/>
          <w:titlePg/>
          <w:docGrid w:linePitch="360"/>
        </w:sectPr>
      </w:pPr>
    </w:p>
    <w:p>
      <w:pPr>
        <w:pStyle w:val="APPENDIXoutlinedc1"/>
      </w:pPr>
      <w:r>
        <w:lastRenderedPageBreak/>
        <w:br/>
      </w:r>
      <w:bookmarkStart w:id="168" w:name="_docxtools_290"/>
      <w:r>
        <w:br/>
      </w:r>
      <w:bookmarkStart w:id="169" w:name="_Ref145702522"/>
      <w:bookmarkStart w:id="170" w:name="_Toc166243864"/>
      <w:r>
        <w:t>FACILITY DESCRIPTION</w:t>
      </w:r>
      <w:bookmarkEnd w:id="168"/>
      <w:bookmarkEnd w:id="169"/>
      <w:bookmarkEnd w:id="170"/>
    </w:p>
    <w:p>
      <w:pPr>
        <w:ind w:firstLine="0"/>
        <w:rPr>
          <w:b/>
        </w:rPr>
      </w:pPr>
      <w:bookmarkStart w:id="171" w:name="AppA_Section_1A"/>
      <w:r>
        <w:rPr>
          <w:b/>
        </w:rPr>
        <w:t>Section 1</w:t>
      </w:r>
      <w:bookmarkEnd w:id="171"/>
      <w:r>
        <w:rPr>
          <w:b/>
        </w:rPr>
        <w:t>A</w:t>
      </w:r>
      <w:r>
        <w:rPr>
          <w:b/>
        </w:rPr>
        <w:tab/>
        <w:t>Seller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3230"/>
      </w:tblGrid>
      <w:tr>
        <w:tc>
          <w:tcPr>
            <w:tcW w:w="9350" w:type="dxa"/>
            <w:gridSpan w:val="2"/>
            <w:tcBorders>
              <w:bottom w:val="single" w:sz="4" w:space="0" w:color="auto"/>
            </w:tcBorders>
          </w:tcPr>
          <w:p>
            <w:pPr>
              <w:ind w:firstLine="0"/>
            </w:pPr>
          </w:p>
        </w:tc>
      </w:tr>
      <w:tr>
        <w:tc>
          <w:tcPr>
            <w:tcW w:w="9350" w:type="dxa"/>
            <w:gridSpan w:val="2"/>
            <w:tcBorders>
              <w:top w:val="single" w:sz="4" w:space="0" w:color="auto"/>
            </w:tcBorders>
          </w:tcPr>
          <w:p>
            <w:pPr>
              <w:ind w:firstLine="0"/>
            </w:pPr>
            <w:r>
              <w:t>Complete Seller Name</w:t>
            </w:r>
          </w:p>
        </w:tc>
      </w:tr>
      <w:tr>
        <w:tc>
          <w:tcPr>
            <w:tcW w:w="6120" w:type="dxa"/>
            <w:tcBorders>
              <w:bottom w:val="single" w:sz="4" w:space="0" w:color="auto"/>
            </w:tcBorders>
          </w:tcPr>
          <w:p>
            <w:pPr>
              <w:ind w:firstLine="0"/>
            </w:pPr>
          </w:p>
        </w:tc>
        <w:tc>
          <w:tcPr>
            <w:tcW w:w="3230" w:type="dxa"/>
            <w:tcBorders>
              <w:bottom w:val="single" w:sz="4" w:space="0" w:color="auto"/>
            </w:tcBorders>
          </w:tcPr>
          <w:p>
            <w:pPr>
              <w:ind w:firstLine="0"/>
            </w:pPr>
          </w:p>
        </w:tc>
      </w:tr>
      <w:tr>
        <w:tc>
          <w:tcPr>
            <w:tcW w:w="6120" w:type="dxa"/>
          </w:tcPr>
          <w:p>
            <w:pPr>
              <w:ind w:firstLine="0"/>
            </w:pPr>
            <w:r>
              <w:t>Business Form (i.e., corporation, LLC, etc.)</w:t>
            </w:r>
          </w:p>
        </w:tc>
        <w:tc>
          <w:tcPr>
            <w:tcW w:w="3230" w:type="dxa"/>
          </w:tcPr>
          <w:p>
            <w:pPr>
              <w:ind w:firstLine="0"/>
            </w:pPr>
            <w:r>
              <w:t>State of Incorporation/Formation</w:t>
            </w:r>
          </w:p>
        </w:tc>
      </w:tr>
    </w:tbl>
    <w:p>
      <w:pPr>
        <w:spacing w:before="360"/>
        <w:ind w:firstLine="0"/>
        <w:rPr>
          <w:b/>
        </w:rPr>
      </w:pPr>
      <w:r>
        <w:rPr>
          <w:b/>
        </w:rPr>
        <w:t>Section 1B:</w:t>
      </w:r>
      <w:r>
        <w:rPr>
          <w:b/>
        </w:rPr>
        <w:tab/>
        <w:t>Contractor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3230"/>
      </w:tblGrid>
      <w:tr>
        <w:tc>
          <w:tcPr>
            <w:tcW w:w="9350" w:type="dxa"/>
            <w:gridSpan w:val="2"/>
            <w:tcBorders>
              <w:bottom w:val="single" w:sz="4" w:space="0" w:color="auto"/>
            </w:tcBorders>
          </w:tcPr>
          <w:p>
            <w:pPr>
              <w:ind w:firstLine="0"/>
            </w:pPr>
          </w:p>
        </w:tc>
      </w:tr>
      <w:tr>
        <w:tc>
          <w:tcPr>
            <w:tcW w:w="9350" w:type="dxa"/>
            <w:gridSpan w:val="2"/>
            <w:tcBorders>
              <w:top w:val="single" w:sz="4" w:space="0" w:color="auto"/>
            </w:tcBorders>
          </w:tcPr>
          <w:p>
            <w:pPr>
              <w:ind w:firstLine="0"/>
            </w:pPr>
            <w:r>
              <w:t>Complete Seller Name</w:t>
            </w:r>
          </w:p>
        </w:tc>
      </w:tr>
      <w:tr>
        <w:tc>
          <w:tcPr>
            <w:tcW w:w="6120" w:type="dxa"/>
            <w:tcBorders>
              <w:bottom w:val="single" w:sz="4" w:space="0" w:color="auto"/>
            </w:tcBorders>
          </w:tcPr>
          <w:p>
            <w:pPr>
              <w:ind w:firstLine="0"/>
            </w:pPr>
          </w:p>
        </w:tc>
        <w:tc>
          <w:tcPr>
            <w:tcW w:w="3230" w:type="dxa"/>
            <w:tcBorders>
              <w:bottom w:val="single" w:sz="4" w:space="0" w:color="auto"/>
            </w:tcBorders>
          </w:tcPr>
          <w:p>
            <w:pPr>
              <w:ind w:firstLine="0"/>
            </w:pPr>
          </w:p>
        </w:tc>
      </w:tr>
      <w:tr>
        <w:tc>
          <w:tcPr>
            <w:tcW w:w="6120" w:type="dxa"/>
          </w:tcPr>
          <w:p>
            <w:pPr>
              <w:ind w:firstLine="0"/>
            </w:pPr>
            <w:r>
              <w:t>Business Form (i.e., corporation, LLC, etc.)</w:t>
            </w:r>
          </w:p>
        </w:tc>
        <w:tc>
          <w:tcPr>
            <w:tcW w:w="3230" w:type="dxa"/>
          </w:tcPr>
          <w:p>
            <w:pPr>
              <w:ind w:firstLine="0"/>
            </w:pPr>
            <w:r>
              <w:t>State of Incorporation/Formation</w:t>
            </w:r>
          </w:p>
        </w:tc>
      </w:tr>
    </w:tbl>
    <w:p>
      <w:pPr>
        <w:pStyle w:val="APPENDIXoutlinedc2"/>
        <w:numPr>
          <w:ilvl w:val="1"/>
          <w:numId w:val="21"/>
        </w:numPr>
      </w:pPr>
      <w:bookmarkStart w:id="172" w:name="_docxtools_313"/>
      <w:r>
        <w:t>Facility Description, Premises, and Site (PPA Section </w:t>
      </w:r>
      <w:r>
        <w:fldChar w:fldCharType="begin"/>
      </w:r>
      <w:r>
        <w:instrText xml:space="preserve"> REF _Ref140340947 \w \h  \* MERGEFORMAT </w:instrText>
      </w:r>
      <w:r>
        <w:fldChar w:fldCharType="separate"/>
      </w:r>
      <w:r>
        <w:t>2</w:t>
      </w:r>
      <w:r>
        <w:fldChar w:fldCharType="end"/>
      </w:r>
      <w:r>
        <w:t>)</w:t>
      </w:r>
      <w:bookmarkEnd w:id="17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530"/>
        <w:gridCol w:w="3590"/>
      </w:tblGrid>
      <w:tr>
        <w:tc>
          <w:tcPr>
            <w:tcW w:w="9350" w:type="dxa"/>
            <w:gridSpan w:val="3"/>
            <w:tcBorders>
              <w:bottom w:val="single" w:sz="4" w:space="0" w:color="auto"/>
            </w:tcBorders>
          </w:tcPr>
          <w:p>
            <w:pPr>
              <w:ind w:firstLine="0"/>
            </w:pPr>
          </w:p>
        </w:tc>
      </w:tr>
      <w:tr>
        <w:tc>
          <w:tcPr>
            <w:tcW w:w="9350" w:type="dxa"/>
            <w:gridSpan w:val="3"/>
            <w:tcBorders>
              <w:top w:val="single" w:sz="4" w:space="0" w:color="auto"/>
            </w:tcBorders>
          </w:tcPr>
          <w:p>
            <w:pPr>
              <w:ind w:firstLine="0"/>
            </w:pPr>
            <w:r>
              <w:t>Service Address for Premises and Description of the Site for the Facility at the Premises (including parcel or tract information)</w:t>
            </w:r>
          </w:p>
        </w:tc>
      </w:tr>
      <w:tr>
        <w:tc>
          <w:tcPr>
            <w:tcW w:w="5760" w:type="dxa"/>
            <w:gridSpan w:val="2"/>
            <w:tcBorders>
              <w:bottom w:val="single" w:sz="4" w:space="0" w:color="auto"/>
            </w:tcBorders>
          </w:tcPr>
          <w:p>
            <w:pPr>
              <w:ind w:firstLine="0"/>
            </w:pPr>
          </w:p>
        </w:tc>
        <w:tc>
          <w:tcPr>
            <w:tcW w:w="3590" w:type="dxa"/>
            <w:tcBorders>
              <w:bottom w:val="single" w:sz="4" w:space="0" w:color="auto"/>
            </w:tcBorders>
          </w:tcPr>
          <w:p>
            <w:pPr>
              <w:ind w:firstLine="0"/>
            </w:pPr>
          </w:p>
        </w:tc>
      </w:tr>
      <w:tr>
        <w:tc>
          <w:tcPr>
            <w:tcW w:w="5760" w:type="dxa"/>
            <w:gridSpan w:val="2"/>
          </w:tcPr>
          <w:p>
            <w:pPr>
              <w:ind w:firstLine="0"/>
            </w:pPr>
            <w:r>
              <w:t>Business Form (i.e., corporation, LLC, etc.)</w:t>
            </w:r>
          </w:p>
        </w:tc>
        <w:tc>
          <w:tcPr>
            <w:tcW w:w="3590" w:type="dxa"/>
          </w:tcPr>
          <w:p>
            <w:pPr>
              <w:ind w:firstLine="0"/>
            </w:pPr>
            <w:r>
              <w:t>State of Incorporation/Formation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0" w:type="dxa"/>
            <w:tcBorders>
              <w:top w:val="nil"/>
              <w:left w:val="nil"/>
              <w:bottom w:val="nil"/>
              <w:right w:val="nil"/>
            </w:tcBorders>
          </w:tcPr>
          <w:p>
            <w:pPr>
              <w:spacing w:before="360"/>
              <w:ind w:firstLine="0"/>
              <w:rPr>
                <w:b/>
              </w:rPr>
            </w:pPr>
            <w:r>
              <w:rPr>
                <w:b/>
              </w:rPr>
              <w:t>Facility Size:</w:t>
            </w:r>
          </w:p>
        </w:tc>
        <w:tc>
          <w:tcPr>
            <w:tcW w:w="5120" w:type="dxa"/>
            <w:gridSpan w:val="2"/>
            <w:tcBorders>
              <w:top w:val="nil"/>
              <w:left w:val="nil"/>
              <w:bottom w:val="nil"/>
              <w:right w:val="nil"/>
            </w:tcBorders>
          </w:tcPr>
          <w:p>
            <w:pPr>
              <w:spacing w:before="360"/>
              <w:ind w:firstLine="0"/>
            </w:pPr>
            <w:bookmarkStart w:id="173" w:name="_Hlk142997328"/>
            <w:r>
              <w:t>Aggregate nameplate capacity of [</w:t>
            </w:r>
            <w:r>
              <w:rPr>
                <w:lang w:eastAsia="zh-CN"/>
              </w:rPr>
              <w:t>●</w:t>
            </w:r>
            <w:r>
              <w:t xml:space="preserve">] kW, limited to the Interconnection Limit at the Point of Interconnection.  </w:t>
            </w:r>
            <w:bookmarkEnd w:id="173"/>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0" w:type="dxa"/>
            <w:tcBorders>
              <w:top w:val="nil"/>
              <w:left w:val="nil"/>
              <w:bottom w:val="nil"/>
              <w:right w:val="nil"/>
            </w:tcBorders>
          </w:tcPr>
          <w:p>
            <w:pPr>
              <w:ind w:firstLine="0"/>
              <w:rPr>
                <w:b/>
              </w:rPr>
            </w:pPr>
            <w:r>
              <w:rPr>
                <w:b/>
              </w:rPr>
              <w:t>Solar Photovoltaic Panels:</w:t>
            </w:r>
          </w:p>
        </w:tc>
        <w:tc>
          <w:tcPr>
            <w:tcW w:w="5120" w:type="dxa"/>
            <w:gridSpan w:val="2"/>
            <w:tcBorders>
              <w:top w:val="nil"/>
              <w:left w:val="nil"/>
              <w:bottom w:val="nil"/>
              <w:right w:val="nil"/>
            </w:tcBorders>
          </w:tcPr>
          <w:p>
            <w:pPr>
              <w:ind w:firstLine="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0" w:type="dxa"/>
            <w:tcBorders>
              <w:top w:val="nil"/>
              <w:left w:val="nil"/>
              <w:bottom w:val="nil"/>
              <w:right w:val="nil"/>
            </w:tcBorders>
          </w:tcPr>
          <w:p>
            <w:pPr>
              <w:ind w:left="159" w:firstLine="0"/>
              <w:jc w:val="left"/>
              <w:rPr>
                <w:b/>
              </w:rPr>
            </w:pPr>
            <w:r>
              <w:t>Orientation:</w:t>
            </w:r>
          </w:p>
        </w:tc>
        <w:tc>
          <w:tcPr>
            <w:tcW w:w="5120" w:type="dxa"/>
            <w:gridSpan w:val="2"/>
            <w:tcBorders>
              <w:top w:val="nil"/>
              <w:left w:val="nil"/>
              <w:bottom w:val="nil"/>
              <w:right w:val="nil"/>
            </w:tcBorders>
          </w:tcPr>
          <w:p>
            <w:pPr>
              <w:ind w:firstLine="0"/>
            </w:pPr>
            <w:sdt>
              <w:sdtPr>
                <w:id w:val="13717939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Fixed Tilt </w:t>
            </w:r>
            <w:r>
              <w:tab/>
            </w:r>
            <w:sdt>
              <w:sdtPr>
                <w:id w:val="4542899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Tracking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0" w:type="dxa"/>
            <w:tcBorders>
              <w:top w:val="nil"/>
              <w:left w:val="nil"/>
              <w:bottom w:val="nil"/>
              <w:right w:val="nil"/>
            </w:tcBorders>
          </w:tcPr>
          <w:p>
            <w:pPr>
              <w:ind w:left="159" w:firstLine="0"/>
              <w:jc w:val="left"/>
              <w:rPr>
                <w:b/>
              </w:rPr>
            </w:pPr>
            <w:r>
              <w:t>Inverters:</w:t>
            </w:r>
          </w:p>
        </w:tc>
        <w:tc>
          <w:tcPr>
            <w:tcW w:w="5120" w:type="dxa"/>
            <w:gridSpan w:val="2"/>
            <w:tcBorders>
              <w:top w:val="nil"/>
              <w:left w:val="nil"/>
              <w:bottom w:val="nil"/>
              <w:right w:val="nil"/>
            </w:tcBorders>
          </w:tcPr>
          <w:p>
            <w:pPr>
              <w:ind w:firstLine="0"/>
            </w:pPr>
            <w:sdt>
              <w:sdtPr>
                <w:id w:val="-14617975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1-Phase</w:t>
            </w:r>
            <w:r>
              <w:tab/>
            </w:r>
            <w:sdt>
              <w:sdtPr>
                <w:id w:val="19101116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3-Phase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0" w:type="dxa"/>
            <w:tcBorders>
              <w:top w:val="nil"/>
              <w:left w:val="nil"/>
              <w:bottom w:val="nil"/>
              <w:right w:val="nil"/>
            </w:tcBorders>
          </w:tcPr>
          <w:p>
            <w:pPr>
              <w:ind w:firstLine="0"/>
              <w:jc w:val="left"/>
              <w:rPr>
                <w:b/>
              </w:rPr>
            </w:pPr>
            <w:r>
              <w:rPr>
                <w:b/>
              </w:rPr>
              <w:lastRenderedPageBreak/>
              <w:t>Interconnection Limit:</w:t>
            </w:r>
          </w:p>
          <w:p>
            <w:pPr>
              <w:ind w:firstLine="0"/>
              <w:jc w:val="left"/>
              <w:rPr>
                <w:b/>
              </w:rPr>
            </w:pPr>
            <w:r>
              <w:rPr>
                <w:b/>
              </w:rPr>
              <w:t>Point of Interconnection:</w:t>
            </w:r>
          </w:p>
        </w:tc>
        <w:tc>
          <w:tcPr>
            <w:tcW w:w="5120" w:type="dxa"/>
            <w:gridSpan w:val="2"/>
            <w:tcBorders>
              <w:top w:val="nil"/>
              <w:left w:val="nil"/>
              <w:bottom w:val="nil"/>
              <w:right w:val="nil"/>
            </w:tcBorders>
          </w:tcPr>
          <w:p>
            <w:pPr>
              <w:ind w:firstLine="0"/>
            </w:pPr>
            <w:r>
              <w:t>[</w:t>
            </w:r>
            <w:r>
              <w:rPr>
                <w:lang w:eastAsia="zh-CN"/>
              </w:rPr>
              <w:t>●</w:t>
            </w:r>
            <w:r>
              <w:t>] kW</w:t>
            </w:r>
          </w:p>
          <w:p>
            <w:pPr>
              <w:ind w:firstLine="0"/>
            </w:pPr>
            <w:r>
              <w:t>[          ]</w:t>
            </w:r>
          </w:p>
        </w:tc>
      </w:tr>
    </w:tbl>
    <w:p>
      <w:pPr>
        <w:pStyle w:val="APPENDIXoutlinedc2"/>
      </w:pPr>
      <w:bookmarkStart w:id="174" w:name="_Ref145758298"/>
      <w:r>
        <w:t>Term</w:t>
      </w:r>
      <w:bookmarkEnd w:id="174"/>
    </w:p>
    <w:tbl>
      <w:tblPr>
        <w:tblStyle w:val="TableGrid"/>
        <w:tblW w:w="0" w:type="auto"/>
        <w:tblLook w:val="04A0" w:firstRow="1" w:lastRow="0" w:firstColumn="1" w:lastColumn="0" w:noHBand="0" w:noVBand="1"/>
      </w:tblPr>
      <w:tblGrid>
        <w:gridCol w:w="4230"/>
        <w:gridCol w:w="5120"/>
      </w:tblGrid>
      <w:tr>
        <w:tc>
          <w:tcPr>
            <w:tcW w:w="4230" w:type="dxa"/>
            <w:tcBorders>
              <w:top w:val="nil"/>
              <w:left w:val="nil"/>
              <w:bottom w:val="nil"/>
              <w:right w:val="nil"/>
            </w:tcBorders>
          </w:tcPr>
          <w:p>
            <w:pPr>
              <w:ind w:left="159" w:firstLine="0"/>
              <w:jc w:val="left"/>
              <w:rPr>
                <w:b/>
              </w:rPr>
            </w:pPr>
            <w:r>
              <w:rPr>
                <w:b/>
              </w:rPr>
              <w:t>Delivery Period (PPA Section </w:t>
            </w:r>
            <w:r>
              <w:rPr>
                <w:b/>
              </w:rPr>
              <w:fldChar w:fldCharType="begin"/>
            </w:r>
            <w:r>
              <w:rPr>
                <w:b/>
              </w:rPr>
              <w:instrText xml:space="preserve"> REF _Ref140340938 \w \h  \* MERGEFORMAT </w:instrText>
            </w:r>
            <w:r>
              <w:rPr>
                <w:b/>
              </w:rPr>
            </w:r>
            <w:r>
              <w:rPr>
                <w:b/>
              </w:rPr>
              <w:fldChar w:fldCharType="separate"/>
            </w:r>
            <w:r>
              <w:rPr>
                <w:b/>
              </w:rPr>
              <w:t>3</w:t>
            </w:r>
            <w:r>
              <w:rPr>
                <w:b/>
              </w:rPr>
              <w:fldChar w:fldCharType="end"/>
            </w:r>
            <w:r>
              <w:rPr>
                <w:b/>
              </w:rPr>
              <w:t>):</w:t>
            </w:r>
          </w:p>
        </w:tc>
        <w:tc>
          <w:tcPr>
            <w:tcW w:w="5120" w:type="dxa"/>
            <w:tcBorders>
              <w:top w:val="nil"/>
              <w:left w:val="nil"/>
              <w:bottom w:val="nil"/>
              <w:right w:val="nil"/>
            </w:tcBorders>
          </w:tcPr>
          <w:p>
            <w:pPr>
              <w:ind w:firstLine="0"/>
            </w:pPr>
            <w:r>
              <w:t>[</w:t>
            </w:r>
            <w:r>
              <w:rPr>
                <w:lang w:eastAsia="zh-CN"/>
              </w:rPr>
              <w:t>●</w:t>
            </w:r>
            <w:r>
              <w:t>] Annual Periods, with the first Annual Period commencing on the first Day after the Commercial Operation Date.</w:t>
            </w:r>
          </w:p>
        </w:tc>
      </w:tr>
    </w:tbl>
    <w:p>
      <w:pPr>
        <w:pStyle w:val="APPENDIXoutlinedc2"/>
      </w:pPr>
      <w:bookmarkStart w:id="175" w:name="_Ref145758152"/>
      <w:r>
        <w:t>Milestones</w:t>
      </w:r>
      <w:bookmarkEnd w:id="175"/>
      <w:r>
        <w:tab/>
      </w:r>
    </w:p>
    <w:tbl>
      <w:tblPr>
        <w:tblStyle w:val="TableGrid"/>
        <w:tblW w:w="0" w:type="auto"/>
        <w:jc w:val="center"/>
        <w:tblLook w:val="04A0" w:firstRow="1" w:lastRow="0" w:firstColumn="1" w:lastColumn="0" w:noHBand="0" w:noVBand="1"/>
      </w:tblPr>
      <w:tblGrid>
        <w:gridCol w:w="3690"/>
        <w:gridCol w:w="3749"/>
      </w:tblGrid>
      <w:tr>
        <w:trPr>
          <w:trHeight w:val="672"/>
          <w:jc w:val="center"/>
        </w:trPr>
        <w:tc>
          <w:tcPr>
            <w:tcW w:w="3690" w:type="dxa"/>
            <w:tcBorders>
              <w:top w:val="single" w:sz="4" w:space="0" w:color="auto"/>
              <w:left w:val="single" w:sz="4" w:space="0" w:color="auto"/>
              <w:bottom w:val="single" w:sz="4" w:space="0" w:color="auto"/>
              <w:right w:val="single" w:sz="4" w:space="0" w:color="auto"/>
            </w:tcBorders>
            <w:hideMark/>
          </w:tcPr>
          <w:p>
            <w:pPr>
              <w:spacing w:before="120" w:after="120"/>
              <w:ind w:firstLine="0"/>
              <w:jc w:val="center"/>
              <w:rPr>
                <w:b/>
                <w:lang w:eastAsia="zh-CN"/>
              </w:rPr>
            </w:pPr>
            <w:r>
              <w:rPr>
                <w:b/>
                <w:lang w:eastAsia="zh-CN"/>
              </w:rPr>
              <w:t>MILESTONE</w:t>
            </w:r>
          </w:p>
        </w:tc>
        <w:tc>
          <w:tcPr>
            <w:tcW w:w="3749" w:type="dxa"/>
            <w:tcBorders>
              <w:top w:val="single" w:sz="4" w:space="0" w:color="auto"/>
              <w:left w:val="single" w:sz="4" w:space="0" w:color="auto"/>
              <w:bottom w:val="single" w:sz="4" w:space="0" w:color="auto"/>
              <w:right w:val="single" w:sz="4" w:space="0" w:color="auto"/>
            </w:tcBorders>
            <w:hideMark/>
          </w:tcPr>
          <w:p>
            <w:pPr>
              <w:spacing w:before="120" w:after="120"/>
              <w:ind w:hanging="14"/>
              <w:jc w:val="center"/>
              <w:rPr>
                <w:b/>
                <w:lang w:eastAsia="zh-CN"/>
              </w:rPr>
            </w:pPr>
            <w:r>
              <w:rPr>
                <w:b/>
                <w:lang w:eastAsia="zh-CN"/>
              </w:rPr>
              <w:t>DATE</w:t>
            </w:r>
          </w:p>
        </w:tc>
      </w:tr>
      <w:tr>
        <w:trPr>
          <w:trHeight w:val="672"/>
          <w:jc w:val="center"/>
        </w:trPr>
        <w:tc>
          <w:tcPr>
            <w:tcW w:w="3690" w:type="dxa"/>
            <w:tcBorders>
              <w:top w:val="single" w:sz="4" w:space="0" w:color="auto"/>
              <w:left w:val="single" w:sz="4" w:space="0" w:color="auto"/>
              <w:bottom w:val="single" w:sz="4" w:space="0" w:color="auto"/>
              <w:right w:val="single" w:sz="4" w:space="0" w:color="auto"/>
            </w:tcBorders>
            <w:vAlign w:val="center"/>
            <w:hideMark/>
          </w:tcPr>
          <w:p>
            <w:pPr>
              <w:spacing w:before="60" w:after="60"/>
              <w:ind w:firstLine="0"/>
              <w:jc w:val="left"/>
              <w:rPr>
                <w:lang w:eastAsia="zh-CN"/>
              </w:rPr>
            </w:pPr>
            <w:r>
              <w:rPr>
                <w:lang w:eastAsia="zh-CN"/>
              </w:rPr>
              <w:t>Major Equipment Commitment Date:</w:t>
            </w:r>
          </w:p>
        </w:tc>
        <w:tc>
          <w:tcPr>
            <w:tcW w:w="3749" w:type="dxa"/>
            <w:tcBorders>
              <w:top w:val="single" w:sz="4" w:space="0" w:color="auto"/>
              <w:left w:val="single" w:sz="4" w:space="0" w:color="auto"/>
              <w:bottom w:val="single" w:sz="4" w:space="0" w:color="auto"/>
              <w:right w:val="single" w:sz="4" w:space="0" w:color="auto"/>
            </w:tcBorders>
            <w:hideMark/>
          </w:tcPr>
          <w:p>
            <w:pPr>
              <w:spacing w:before="60" w:after="60"/>
              <w:ind w:firstLine="256"/>
              <w:jc w:val="left"/>
              <w:rPr>
                <w:lang w:eastAsia="zh-CN"/>
              </w:rPr>
            </w:pPr>
            <w:r>
              <w:rPr>
                <w:lang w:eastAsia="zh-CN"/>
              </w:rPr>
              <w:t>[●]</w:t>
            </w:r>
          </w:p>
        </w:tc>
      </w:tr>
      <w:tr>
        <w:trPr>
          <w:trHeight w:val="672"/>
          <w:jc w:val="center"/>
        </w:trPr>
        <w:tc>
          <w:tcPr>
            <w:tcW w:w="3690" w:type="dxa"/>
            <w:tcBorders>
              <w:top w:val="single" w:sz="4" w:space="0" w:color="auto"/>
              <w:left w:val="single" w:sz="4" w:space="0" w:color="auto"/>
              <w:bottom w:val="single" w:sz="4" w:space="0" w:color="auto"/>
              <w:right w:val="single" w:sz="4" w:space="0" w:color="auto"/>
            </w:tcBorders>
            <w:vAlign w:val="center"/>
            <w:hideMark/>
          </w:tcPr>
          <w:p>
            <w:pPr>
              <w:spacing w:before="60" w:after="60"/>
              <w:ind w:firstLine="0"/>
              <w:jc w:val="left"/>
              <w:rPr>
                <w:lang w:eastAsia="zh-CN"/>
              </w:rPr>
            </w:pPr>
            <w:r>
              <w:rPr>
                <w:lang w:eastAsia="zh-CN"/>
              </w:rPr>
              <w:t>Permitting Complete:</w:t>
            </w:r>
          </w:p>
        </w:tc>
        <w:tc>
          <w:tcPr>
            <w:tcW w:w="3749" w:type="dxa"/>
            <w:tcBorders>
              <w:top w:val="single" w:sz="4" w:space="0" w:color="auto"/>
              <w:left w:val="single" w:sz="4" w:space="0" w:color="auto"/>
              <w:bottom w:val="single" w:sz="4" w:space="0" w:color="auto"/>
              <w:right w:val="single" w:sz="4" w:space="0" w:color="auto"/>
            </w:tcBorders>
            <w:hideMark/>
          </w:tcPr>
          <w:p>
            <w:pPr>
              <w:spacing w:before="60" w:after="60"/>
              <w:ind w:firstLine="256"/>
              <w:jc w:val="left"/>
              <w:rPr>
                <w:lang w:eastAsia="zh-CN"/>
              </w:rPr>
            </w:pPr>
            <w:r>
              <w:rPr>
                <w:lang w:eastAsia="zh-CN"/>
              </w:rPr>
              <w:t>[●]</w:t>
            </w:r>
          </w:p>
        </w:tc>
      </w:tr>
      <w:tr>
        <w:trPr>
          <w:trHeight w:val="672"/>
          <w:jc w:val="center"/>
        </w:trPr>
        <w:tc>
          <w:tcPr>
            <w:tcW w:w="3690" w:type="dxa"/>
            <w:tcBorders>
              <w:top w:val="single" w:sz="4" w:space="0" w:color="auto"/>
              <w:left w:val="single" w:sz="4" w:space="0" w:color="auto"/>
              <w:bottom w:val="single" w:sz="4" w:space="0" w:color="auto"/>
              <w:right w:val="single" w:sz="4" w:space="0" w:color="auto"/>
            </w:tcBorders>
            <w:vAlign w:val="center"/>
            <w:hideMark/>
          </w:tcPr>
          <w:p>
            <w:pPr>
              <w:spacing w:before="60" w:after="60"/>
              <w:ind w:firstLine="0"/>
              <w:jc w:val="left"/>
              <w:rPr>
                <w:lang w:eastAsia="zh-CN"/>
              </w:rPr>
            </w:pPr>
            <w:r>
              <w:rPr>
                <w:lang w:eastAsia="zh-CN"/>
              </w:rPr>
              <w:t>System Impact Study Complete:</w:t>
            </w:r>
          </w:p>
        </w:tc>
        <w:tc>
          <w:tcPr>
            <w:tcW w:w="3749" w:type="dxa"/>
            <w:tcBorders>
              <w:top w:val="single" w:sz="4" w:space="0" w:color="auto"/>
              <w:left w:val="single" w:sz="4" w:space="0" w:color="auto"/>
              <w:bottom w:val="single" w:sz="4" w:space="0" w:color="auto"/>
              <w:right w:val="single" w:sz="4" w:space="0" w:color="auto"/>
            </w:tcBorders>
            <w:hideMark/>
          </w:tcPr>
          <w:p>
            <w:pPr>
              <w:spacing w:before="60" w:after="60"/>
              <w:ind w:firstLine="256"/>
              <w:jc w:val="left"/>
              <w:rPr>
                <w:lang w:eastAsia="zh-CN"/>
              </w:rPr>
            </w:pPr>
            <w:r>
              <w:rPr>
                <w:lang w:eastAsia="zh-CN"/>
              </w:rPr>
              <w:t>[●]</w:t>
            </w:r>
          </w:p>
        </w:tc>
      </w:tr>
      <w:tr>
        <w:trPr>
          <w:trHeight w:val="672"/>
          <w:jc w:val="center"/>
        </w:trPr>
        <w:tc>
          <w:tcPr>
            <w:tcW w:w="3690" w:type="dxa"/>
            <w:tcBorders>
              <w:top w:val="single" w:sz="4" w:space="0" w:color="auto"/>
              <w:left w:val="single" w:sz="4" w:space="0" w:color="auto"/>
              <w:bottom w:val="single" w:sz="4" w:space="0" w:color="auto"/>
              <w:right w:val="single" w:sz="4" w:space="0" w:color="auto"/>
            </w:tcBorders>
            <w:vAlign w:val="center"/>
            <w:hideMark/>
          </w:tcPr>
          <w:p>
            <w:pPr>
              <w:spacing w:before="60" w:after="60"/>
              <w:ind w:firstLine="0"/>
              <w:jc w:val="left"/>
              <w:rPr>
                <w:lang w:eastAsia="zh-CN"/>
              </w:rPr>
            </w:pPr>
            <w:r>
              <w:rPr>
                <w:lang w:eastAsia="zh-CN"/>
              </w:rPr>
              <w:t>Transmission and Interconnection Facilities Studies Complete:</w:t>
            </w:r>
          </w:p>
        </w:tc>
        <w:tc>
          <w:tcPr>
            <w:tcW w:w="3749" w:type="dxa"/>
            <w:tcBorders>
              <w:top w:val="single" w:sz="4" w:space="0" w:color="auto"/>
              <w:left w:val="single" w:sz="4" w:space="0" w:color="auto"/>
              <w:bottom w:val="single" w:sz="4" w:space="0" w:color="auto"/>
              <w:right w:val="single" w:sz="4" w:space="0" w:color="auto"/>
            </w:tcBorders>
            <w:hideMark/>
          </w:tcPr>
          <w:p>
            <w:pPr>
              <w:spacing w:before="60" w:after="60"/>
              <w:ind w:firstLine="256"/>
              <w:jc w:val="left"/>
              <w:rPr>
                <w:lang w:eastAsia="zh-CN"/>
              </w:rPr>
            </w:pPr>
            <w:r>
              <w:rPr>
                <w:lang w:eastAsia="zh-CN"/>
              </w:rPr>
              <w:t>[●]</w:t>
            </w:r>
          </w:p>
        </w:tc>
      </w:tr>
      <w:tr>
        <w:trPr>
          <w:trHeight w:val="672"/>
          <w:jc w:val="center"/>
        </w:trPr>
        <w:tc>
          <w:tcPr>
            <w:tcW w:w="3690" w:type="dxa"/>
            <w:tcBorders>
              <w:top w:val="single" w:sz="4" w:space="0" w:color="auto"/>
              <w:left w:val="single" w:sz="4" w:space="0" w:color="auto"/>
              <w:bottom w:val="single" w:sz="4" w:space="0" w:color="auto"/>
              <w:right w:val="single" w:sz="4" w:space="0" w:color="auto"/>
            </w:tcBorders>
            <w:vAlign w:val="center"/>
            <w:hideMark/>
          </w:tcPr>
          <w:p>
            <w:pPr>
              <w:spacing w:before="60" w:after="60"/>
              <w:ind w:firstLine="0"/>
              <w:jc w:val="left"/>
              <w:rPr>
                <w:lang w:eastAsia="zh-CN"/>
              </w:rPr>
            </w:pPr>
            <w:r>
              <w:rPr>
                <w:lang w:eastAsia="zh-CN"/>
              </w:rPr>
              <w:t>Construction Start Date:</w:t>
            </w:r>
          </w:p>
        </w:tc>
        <w:tc>
          <w:tcPr>
            <w:tcW w:w="3749" w:type="dxa"/>
            <w:tcBorders>
              <w:top w:val="single" w:sz="4" w:space="0" w:color="auto"/>
              <w:left w:val="single" w:sz="4" w:space="0" w:color="auto"/>
              <w:bottom w:val="single" w:sz="4" w:space="0" w:color="auto"/>
              <w:right w:val="single" w:sz="4" w:space="0" w:color="auto"/>
            </w:tcBorders>
            <w:hideMark/>
          </w:tcPr>
          <w:p>
            <w:pPr>
              <w:spacing w:before="60" w:after="60"/>
              <w:ind w:firstLine="256"/>
              <w:jc w:val="left"/>
              <w:rPr>
                <w:lang w:eastAsia="zh-CN"/>
              </w:rPr>
            </w:pPr>
            <w:r>
              <w:rPr>
                <w:lang w:eastAsia="zh-CN"/>
              </w:rPr>
              <w:t>[●]</w:t>
            </w:r>
          </w:p>
        </w:tc>
      </w:tr>
      <w:tr>
        <w:trPr>
          <w:trHeight w:val="672"/>
          <w:jc w:val="center"/>
        </w:trPr>
        <w:tc>
          <w:tcPr>
            <w:tcW w:w="3690" w:type="dxa"/>
            <w:tcBorders>
              <w:top w:val="single" w:sz="4" w:space="0" w:color="auto"/>
              <w:left w:val="single" w:sz="4" w:space="0" w:color="auto"/>
              <w:bottom w:val="single" w:sz="4" w:space="0" w:color="auto"/>
              <w:right w:val="single" w:sz="4" w:space="0" w:color="auto"/>
            </w:tcBorders>
            <w:vAlign w:val="center"/>
          </w:tcPr>
          <w:p>
            <w:pPr>
              <w:spacing w:before="60" w:after="60"/>
              <w:ind w:firstLine="0"/>
              <w:jc w:val="left"/>
              <w:rPr>
                <w:lang w:eastAsia="zh-CN"/>
              </w:rPr>
            </w:pPr>
            <w:r>
              <w:rPr>
                <w:lang w:eastAsia="zh-CN"/>
              </w:rPr>
              <w:t>Site Control Complete:</w:t>
            </w:r>
          </w:p>
        </w:tc>
        <w:tc>
          <w:tcPr>
            <w:tcW w:w="3749" w:type="dxa"/>
            <w:tcBorders>
              <w:top w:val="single" w:sz="4" w:space="0" w:color="auto"/>
              <w:left w:val="single" w:sz="4" w:space="0" w:color="auto"/>
              <w:bottom w:val="single" w:sz="4" w:space="0" w:color="auto"/>
              <w:right w:val="single" w:sz="4" w:space="0" w:color="auto"/>
            </w:tcBorders>
            <w:hideMark/>
          </w:tcPr>
          <w:p>
            <w:pPr>
              <w:spacing w:before="60" w:after="60"/>
              <w:ind w:firstLine="256"/>
              <w:jc w:val="left"/>
              <w:rPr>
                <w:lang w:eastAsia="zh-CN"/>
              </w:rPr>
            </w:pPr>
            <w:r>
              <w:rPr>
                <w:lang w:eastAsia="zh-CN"/>
              </w:rPr>
              <w:t>[●]</w:t>
            </w:r>
          </w:p>
        </w:tc>
      </w:tr>
      <w:tr>
        <w:trPr>
          <w:trHeight w:val="672"/>
          <w:jc w:val="center"/>
        </w:trPr>
        <w:tc>
          <w:tcPr>
            <w:tcW w:w="3690" w:type="dxa"/>
            <w:tcBorders>
              <w:top w:val="single" w:sz="4" w:space="0" w:color="auto"/>
              <w:left w:val="single" w:sz="4" w:space="0" w:color="auto"/>
              <w:bottom w:val="single" w:sz="4" w:space="0" w:color="auto"/>
              <w:right w:val="single" w:sz="4" w:space="0" w:color="auto"/>
            </w:tcBorders>
            <w:vAlign w:val="center"/>
            <w:hideMark/>
          </w:tcPr>
          <w:p>
            <w:pPr>
              <w:spacing w:before="60" w:after="60"/>
              <w:ind w:firstLine="0"/>
              <w:jc w:val="left"/>
              <w:rPr>
                <w:lang w:eastAsia="zh-CN"/>
              </w:rPr>
            </w:pPr>
            <w:r>
              <w:rPr>
                <w:lang w:eastAsia="zh-CN"/>
              </w:rPr>
              <w:t>Interconnection Agreement Executed:</w:t>
            </w:r>
          </w:p>
        </w:tc>
        <w:tc>
          <w:tcPr>
            <w:tcW w:w="3749" w:type="dxa"/>
            <w:tcBorders>
              <w:top w:val="single" w:sz="4" w:space="0" w:color="auto"/>
              <w:left w:val="single" w:sz="4" w:space="0" w:color="auto"/>
              <w:bottom w:val="single" w:sz="4" w:space="0" w:color="auto"/>
              <w:right w:val="single" w:sz="4" w:space="0" w:color="auto"/>
            </w:tcBorders>
            <w:hideMark/>
          </w:tcPr>
          <w:p>
            <w:pPr>
              <w:spacing w:before="60" w:after="60"/>
              <w:ind w:firstLine="256"/>
              <w:jc w:val="left"/>
              <w:rPr>
                <w:lang w:eastAsia="zh-CN"/>
              </w:rPr>
            </w:pPr>
            <w:r>
              <w:rPr>
                <w:lang w:eastAsia="zh-CN"/>
              </w:rPr>
              <w:t>[●]</w:t>
            </w:r>
          </w:p>
        </w:tc>
      </w:tr>
      <w:tr>
        <w:trPr>
          <w:trHeight w:val="672"/>
          <w:jc w:val="center"/>
        </w:trPr>
        <w:tc>
          <w:tcPr>
            <w:tcW w:w="3690" w:type="dxa"/>
            <w:tcBorders>
              <w:top w:val="single" w:sz="4" w:space="0" w:color="auto"/>
              <w:left w:val="single" w:sz="4" w:space="0" w:color="auto"/>
              <w:bottom w:val="single" w:sz="4" w:space="0" w:color="auto"/>
              <w:right w:val="single" w:sz="4" w:space="0" w:color="auto"/>
            </w:tcBorders>
            <w:vAlign w:val="center"/>
            <w:hideMark/>
          </w:tcPr>
          <w:p>
            <w:pPr>
              <w:spacing w:before="60" w:after="60"/>
              <w:ind w:firstLine="0"/>
              <w:jc w:val="left"/>
              <w:rPr>
                <w:lang w:eastAsia="zh-CN"/>
              </w:rPr>
            </w:pPr>
            <w:r>
              <w:rPr>
                <w:lang w:eastAsia="zh-CN"/>
              </w:rPr>
              <w:t>Transmission and/or Distribution Service Agreement Executed:</w:t>
            </w:r>
          </w:p>
        </w:tc>
        <w:tc>
          <w:tcPr>
            <w:tcW w:w="3749" w:type="dxa"/>
            <w:tcBorders>
              <w:top w:val="single" w:sz="4" w:space="0" w:color="auto"/>
              <w:left w:val="single" w:sz="4" w:space="0" w:color="auto"/>
              <w:bottom w:val="single" w:sz="4" w:space="0" w:color="auto"/>
              <w:right w:val="single" w:sz="4" w:space="0" w:color="auto"/>
            </w:tcBorders>
            <w:hideMark/>
          </w:tcPr>
          <w:p>
            <w:pPr>
              <w:spacing w:before="60" w:after="60"/>
              <w:ind w:firstLine="256"/>
              <w:jc w:val="left"/>
              <w:rPr>
                <w:lang w:eastAsia="zh-CN"/>
              </w:rPr>
            </w:pPr>
            <w:r>
              <w:rPr>
                <w:lang w:eastAsia="zh-CN"/>
              </w:rPr>
              <w:t>[●]</w:t>
            </w:r>
          </w:p>
        </w:tc>
      </w:tr>
      <w:tr>
        <w:trPr>
          <w:trHeight w:val="672"/>
          <w:jc w:val="center"/>
        </w:trPr>
        <w:tc>
          <w:tcPr>
            <w:tcW w:w="3690" w:type="dxa"/>
            <w:tcBorders>
              <w:top w:val="single" w:sz="4" w:space="0" w:color="auto"/>
              <w:left w:val="single" w:sz="4" w:space="0" w:color="auto"/>
              <w:bottom w:val="single" w:sz="4" w:space="0" w:color="auto"/>
              <w:right w:val="single" w:sz="4" w:space="0" w:color="auto"/>
            </w:tcBorders>
            <w:vAlign w:val="center"/>
            <w:hideMark/>
          </w:tcPr>
          <w:p>
            <w:pPr>
              <w:spacing w:before="60" w:after="60"/>
              <w:ind w:firstLine="0"/>
              <w:jc w:val="left"/>
              <w:rPr>
                <w:lang w:eastAsia="zh-CN"/>
              </w:rPr>
            </w:pPr>
            <w:r>
              <w:rPr>
                <w:lang w:eastAsia="zh-CN"/>
              </w:rPr>
              <w:t>Transmission, Distribution, and Interconnection Upgrades Complete:</w:t>
            </w:r>
          </w:p>
        </w:tc>
        <w:tc>
          <w:tcPr>
            <w:tcW w:w="3749" w:type="dxa"/>
            <w:tcBorders>
              <w:top w:val="single" w:sz="4" w:space="0" w:color="auto"/>
              <w:left w:val="single" w:sz="4" w:space="0" w:color="auto"/>
              <w:bottom w:val="single" w:sz="4" w:space="0" w:color="auto"/>
              <w:right w:val="single" w:sz="4" w:space="0" w:color="auto"/>
            </w:tcBorders>
            <w:hideMark/>
          </w:tcPr>
          <w:p>
            <w:pPr>
              <w:spacing w:before="60" w:after="60"/>
              <w:ind w:firstLine="256"/>
              <w:jc w:val="left"/>
              <w:rPr>
                <w:lang w:eastAsia="zh-CN"/>
              </w:rPr>
            </w:pPr>
            <w:r>
              <w:rPr>
                <w:lang w:eastAsia="zh-CN"/>
              </w:rPr>
              <w:t>[●]</w:t>
            </w:r>
          </w:p>
        </w:tc>
      </w:tr>
      <w:tr>
        <w:trPr>
          <w:trHeight w:val="672"/>
          <w:jc w:val="center"/>
        </w:trPr>
        <w:tc>
          <w:tcPr>
            <w:tcW w:w="3690" w:type="dxa"/>
            <w:tcBorders>
              <w:top w:val="single" w:sz="4" w:space="0" w:color="auto"/>
              <w:left w:val="single" w:sz="4" w:space="0" w:color="auto"/>
              <w:bottom w:val="single" w:sz="4" w:space="0" w:color="auto"/>
              <w:right w:val="single" w:sz="4" w:space="0" w:color="auto"/>
            </w:tcBorders>
            <w:vAlign w:val="center"/>
            <w:hideMark/>
          </w:tcPr>
          <w:p>
            <w:pPr>
              <w:spacing w:before="60" w:after="60"/>
              <w:ind w:firstLine="0"/>
              <w:jc w:val="left"/>
              <w:rPr>
                <w:lang w:eastAsia="zh-CN"/>
              </w:rPr>
            </w:pPr>
            <w:r>
              <w:rPr>
                <w:lang w:eastAsia="zh-CN"/>
              </w:rPr>
              <w:t>Long Term Firm and/or Distribution Service Obtained:</w:t>
            </w:r>
          </w:p>
        </w:tc>
        <w:tc>
          <w:tcPr>
            <w:tcW w:w="3749" w:type="dxa"/>
            <w:tcBorders>
              <w:top w:val="single" w:sz="4" w:space="0" w:color="auto"/>
              <w:left w:val="single" w:sz="4" w:space="0" w:color="auto"/>
              <w:bottom w:val="single" w:sz="4" w:space="0" w:color="auto"/>
              <w:right w:val="single" w:sz="4" w:space="0" w:color="auto"/>
            </w:tcBorders>
            <w:hideMark/>
          </w:tcPr>
          <w:p>
            <w:pPr>
              <w:spacing w:before="60" w:after="60"/>
              <w:ind w:firstLine="256"/>
              <w:jc w:val="left"/>
              <w:rPr>
                <w:lang w:eastAsia="zh-CN"/>
              </w:rPr>
            </w:pPr>
            <w:r>
              <w:rPr>
                <w:lang w:eastAsia="zh-CN"/>
              </w:rPr>
              <w:t>[●]</w:t>
            </w:r>
          </w:p>
        </w:tc>
      </w:tr>
      <w:tr>
        <w:trPr>
          <w:trHeight w:val="672"/>
          <w:jc w:val="center"/>
        </w:trPr>
        <w:tc>
          <w:tcPr>
            <w:tcW w:w="3690" w:type="dxa"/>
            <w:tcBorders>
              <w:top w:val="single" w:sz="4" w:space="0" w:color="auto"/>
              <w:left w:val="single" w:sz="4" w:space="0" w:color="auto"/>
              <w:bottom w:val="single" w:sz="4" w:space="0" w:color="auto"/>
              <w:right w:val="single" w:sz="4" w:space="0" w:color="auto"/>
            </w:tcBorders>
            <w:vAlign w:val="center"/>
            <w:hideMark/>
          </w:tcPr>
          <w:p>
            <w:pPr>
              <w:spacing w:before="60" w:after="60"/>
              <w:ind w:firstLine="0"/>
              <w:jc w:val="left"/>
              <w:rPr>
                <w:lang w:eastAsia="zh-CN"/>
              </w:rPr>
            </w:pPr>
            <w:r>
              <w:rPr>
                <w:lang w:eastAsia="zh-CN"/>
              </w:rPr>
              <w:t>Initial Synchronization Date:</w:t>
            </w:r>
          </w:p>
        </w:tc>
        <w:tc>
          <w:tcPr>
            <w:tcW w:w="3749" w:type="dxa"/>
            <w:tcBorders>
              <w:top w:val="single" w:sz="4" w:space="0" w:color="auto"/>
              <w:left w:val="single" w:sz="4" w:space="0" w:color="auto"/>
              <w:bottom w:val="single" w:sz="4" w:space="0" w:color="auto"/>
              <w:right w:val="single" w:sz="4" w:space="0" w:color="auto"/>
            </w:tcBorders>
            <w:hideMark/>
          </w:tcPr>
          <w:p>
            <w:pPr>
              <w:spacing w:before="60" w:after="60"/>
              <w:ind w:firstLine="256"/>
              <w:jc w:val="left"/>
              <w:rPr>
                <w:lang w:eastAsia="zh-CN"/>
              </w:rPr>
            </w:pPr>
            <w:r>
              <w:rPr>
                <w:lang w:eastAsia="zh-CN"/>
              </w:rPr>
              <w:t>[●]</w:t>
            </w:r>
          </w:p>
        </w:tc>
      </w:tr>
      <w:tr>
        <w:trPr>
          <w:trHeight w:val="672"/>
          <w:jc w:val="center"/>
        </w:trPr>
        <w:tc>
          <w:tcPr>
            <w:tcW w:w="3690" w:type="dxa"/>
            <w:tcBorders>
              <w:top w:val="single" w:sz="4" w:space="0" w:color="auto"/>
              <w:left w:val="single" w:sz="4" w:space="0" w:color="auto"/>
              <w:bottom w:val="single" w:sz="4" w:space="0" w:color="auto"/>
              <w:right w:val="single" w:sz="4" w:space="0" w:color="auto"/>
            </w:tcBorders>
            <w:vAlign w:val="center"/>
            <w:hideMark/>
          </w:tcPr>
          <w:p>
            <w:pPr>
              <w:spacing w:before="60" w:after="60"/>
              <w:ind w:firstLine="0"/>
              <w:jc w:val="left"/>
              <w:rPr>
                <w:lang w:eastAsia="zh-CN"/>
              </w:rPr>
            </w:pPr>
            <w:r>
              <w:rPr>
                <w:lang w:eastAsia="zh-CN"/>
              </w:rPr>
              <w:lastRenderedPageBreak/>
              <w:t>Backfeed Date:</w:t>
            </w:r>
          </w:p>
        </w:tc>
        <w:tc>
          <w:tcPr>
            <w:tcW w:w="3749" w:type="dxa"/>
            <w:tcBorders>
              <w:top w:val="single" w:sz="4" w:space="0" w:color="auto"/>
              <w:left w:val="single" w:sz="4" w:space="0" w:color="auto"/>
              <w:bottom w:val="single" w:sz="4" w:space="0" w:color="auto"/>
              <w:right w:val="single" w:sz="4" w:space="0" w:color="auto"/>
            </w:tcBorders>
            <w:hideMark/>
          </w:tcPr>
          <w:p>
            <w:pPr>
              <w:spacing w:before="60" w:after="60"/>
              <w:ind w:firstLine="256"/>
              <w:jc w:val="left"/>
              <w:rPr>
                <w:lang w:eastAsia="zh-CN"/>
              </w:rPr>
            </w:pPr>
            <w:r>
              <w:rPr>
                <w:lang w:eastAsia="zh-CN"/>
              </w:rPr>
              <w:t>[●]</w:t>
            </w:r>
          </w:p>
        </w:tc>
      </w:tr>
      <w:tr>
        <w:trPr>
          <w:trHeight w:val="672"/>
          <w:jc w:val="center"/>
        </w:trPr>
        <w:tc>
          <w:tcPr>
            <w:tcW w:w="3690" w:type="dxa"/>
            <w:tcBorders>
              <w:top w:val="single" w:sz="4" w:space="0" w:color="auto"/>
              <w:left w:val="single" w:sz="4" w:space="0" w:color="auto"/>
              <w:bottom w:val="single" w:sz="4" w:space="0" w:color="auto"/>
              <w:right w:val="single" w:sz="4" w:space="0" w:color="auto"/>
            </w:tcBorders>
            <w:vAlign w:val="center"/>
            <w:hideMark/>
          </w:tcPr>
          <w:p>
            <w:pPr>
              <w:spacing w:before="60" w:after="60"/>
              <w:ind w:firstLine="0"/>
              <w:jc w:val="left"/>
              <w:rPr>
                <w:lang w:eastAsia="zh-CN"/>
              </w:rPr>
            </w:pPr>
            <w:r>
              <w:rPr>
                <w:lang w:eastAsia="zh-CN"/>
              </w:rPr>
              <w:t>Target Commercial Operation Date:</w:t>
            </w:r>
          </w:p>
        </w:tc>
        <w:tc>
          <w:tcPr>
            <w:tcW w:w="3749" w:type="dxa"/>
            <w:tcBorders>
              <w:top w:val="single" w:sz="4" w:space="0" w:color="auto"/>
              <w:left w:val="single" w:sz="4" w:space="0" w:color="auto"/>
              <w:bottom w:val="single" w:sz="4" w:space="0" w:color="auto"/>
              <w:right w:val="single" w:sz="4" w:space="0" w:color="auto"/>
            </w:tcBorders>
            <w:hideMark/>
          </w:tcPr>
          <w:p>
            <w:pPr>
              <w:spacing w:before="60" w:after="60"/>
              <w:ind w:firstLine="256"/>
              <w:jc w:val="left"/>
              <w:rPr>
                <w:lang w:eastAsia="zh-CN"/>
              </w:rPr>
            </w:pPr>
            <w:r>
              <w:rPr>
                <w:lang w:eastAsia="zh-CN"/>
              </w:rPr>
              <w:t>[●]</w:t>
            </w:r>
          </w:p>
        </w:tc>
      </w:tr>
      <w:tr>
        <w:trPr>
          <w:trHeight w:val="672"/>
          <w:jc w:val="center"/>
        </w:trPr>
        <w:tc>
          <w:tcPr>
            <w:tcW w:w="3690" w:type="dxa"/>
            <w:tcBorders>
              <w:top w:val="single" w:sz="4" w:space="0" w:color="auto"/>
              <w:left w:val="single" w:sz="4" w:space="0" w:color="auto"/>
              <w:bottom w:val="single" w:sz="4" w:space="0" w:color="auto"/>
              <w:right w:val="single" w:sz="4" w:space="0" w:color="auto"/>
            </w:tcBorders>
            <w:vAlign w:val="center"/>
            <w:hideMark/>
          </w:tcPr>
          <w:p>
            <w:pPr>
              <w:spacing w:before="60" w:after="60"/>
              <w:ind w:firstLine="0"/>
              <w:jc w:val="left"/>
              <w:rPr>
                <w:b/>
                <w:bCs/>
                <w:lang w:eastAsia="zh-CN"/>
              </w:rPr>
            </w:pPr>
            <w:r>
              <w:rPr>
                <w:b/>
                <w:bCs/>
                <w:lang w:eastAsia="zh-CN"/>
              </w:rPr>
              <w:t>Required Commercial Operation Date:</w:t>
            </w:r>
          </w:p>
        </w:tc>
        <w:tc>
          <w:tcPr>
            <w:tcW w:w="3749" w:type="dxa"/>
            <w:tcBorders>
              <w:top w:val="single" w:sz="4" w:space="0" w:color="auto"/>
              <w:left w:val="single" w:sz="4" w:space="0" w:color="auto"/>
              <w:bottom w:val="single" w:sz="4" w:space="0" w:color="auto"/>
              <w:right w:val="single" w:sz="4" w:space="0" w:color="auto"/>
            </w:tcBorders>
            <w:hideMark/>
          </w:tcPr>
          <w:p>
            <w:pPr>
              <w:spacing w:before="60" w:after="60"/>
              <w:ind w:firstLine="256"/>
              <w:jc w:val="left"/>
              <w:rPr>
                <w:lang w:eastAsia="zh-CN"/>
              </w:rPr>
            </w:pPr>
            <w:r>
              <w:rPr>
                <w:lang w:eastAsia="zh-CN"/>
              </w:rPr>
              <w:t>[●]</w:t>
            </w:r>
          </w:p>
        </w:tc>
      </w:tr>
    </w:tbl>
    <w:p>
      <w:pPr>
        <w:pStyle w:val="APPENDIXoutlinedc2"/>
      </w:pPr>
      <w:bookmarkStart w:id="176" w:name="_docxtools_392"/>
      <w:r>
        <w:t>Notice (PPA Section </w:t>
      </w:r>
      <w:r>
        <w:fldChar w:fldCharType="begin"/>
      </w:r>
      <w:r>
        <w:rPr>
          <w:highlight w:val="yellow"/>
        </w:rPr>
        <w:instrText xml:space="preserve"> REF _docxtools_269 \w \h \t  </w:instrText>
      </w:r>
      <w:r>
        <w:instrText xml:space="preserve"> \* MERGEFORMAT </w:instrText>
      </w:r>
      <w:r>
        <w:fldChar w:fldCharType="separate"/>
      </w:r>
      <w:r>
        <w:t>23.10</w:t>
      </w:r>
      <w:r>
        <w:fldChar w:fldCharType="end"/>
      </w:r>
      <w:r>
        <w:t>):</w:t>
      </w:r>
      <w:bookmarkEnd w:id="176"/>
    </w:p>
    <w:tbl>
      <w:tblPr>
        <w:tblStyle w:val="TableGrid"/>
        <w:tblW w:w="9550" w:type="dxa"/>
        <w:tblLook w:val="04A0" w:firstRow="1" w:lastRow="0" w:firstColumn="1" w:lastColumn="0" w:noHBand="0" w:noVBand="1"/>
      </w:tblPr>
      <w:tblGrid>
        <w:gridCol w:w="2970"/>
        <w:gridCol w:w="3190"/>
        <w:gridCol w:w="3310"/>
        <w:gridCol w:w="80"/>
      </w:tblGrid>
      <w:tr>
        <w:trPr>
          <w:gridAfter w:val="1"/>
          <w:wAfter w:w="80" w:type="dxa"/>
        </w:trPr>
        <w:tc>
          <w:tcPr>
            <w:tcW w:w="2970" w:type="dxa"/>
            <w:tcBorders>
              <w:top w:val="nil"/>
              <w:left w:val="nil"/>
              <w:bottom w:val="nil"/>
              <w:right w:val="nil"/>
            </w:tcBorders>
          </w:tcPr>
          <w:p>
            <w:pPr>
              <w:ind w:left="159" w:firstLine="0"/>
              <w:jc w:val="left"/>
              <w:rPr>
                <w:b/>
              </w:rPr>
            </w:pPr>
            <w:r>
              <w:rPr>
                <w:b/>
              </w:rPr>
              <w:t>To PSE:</w:t>
            </w:r>
          </w:p>
        </w:tc>
        <w:tc>
          <w:tcPr>
            <w:tcW w:w="3190" w:type="dxa"/>
            <w:tcBorders>
              <w:top w:val="nil"/>
              <w:left w:val="nil"/>
              <w:bottom w:val="nil"/>
              <w:right w:val="nil"/>
            </w:tcBorders>
          </w:tcPr>
          <w:p>
            <w:pPr>
              <w:ind w:firstLine="0"/>
              <w:jc w:val="left"/>
              <w:rPr>
                <w:rFonts w:eastAsiaTheme="minorEastAsia"/>
                <w:noProof/>
              </w:rPr>
            </w:pPr>
            <w:r>
              <w:rPr>
                <w:rFonts w:eastAsiaTheme="minorEastAsia"/>
                <w:b/>
                <w:bCs/>
                <w:i/>
                <w:iCs/>
                <w:noProof/>
                <w:color w:val="000080"/>
              </w:rPr>
              <w:t>Mailing Address:</w:t>
            </w:r>
          </w:p>
          <w:p>
            <w:pPr>
              <w:spacing w:after="0"/>
              <w:ind w:firstLine="0"/>
              <w:jc w:val="left"/>
              <w:rPr>
                <w:rFonts w:eastAsiaTheme="minorEastAsia"/>
                <w:noProof/>
              </w:rPr>
            </w:pPr>
            <w:r>
              <w:rPr>
                <w:rFonts w:eastAsiaTheme="minorEastAsia"/>
                <w:noProof/>
              </w:rPr>
              <w:t>Puget Sound Energy, BEL11E</w:t>
            </w:r>
          </w:p>
          <w:p>
            <w:pPr>
              <w:tabs>
                <w:tab w:val="right" w:pos="2503"/>
              </w:tabs>
              <w:spacing w:after="0"/>
              <w:ind w:firstLine="0"/>
              <w:jc w:val="left"/>
              <w:rPr>
                <w:rFonts w:eastAsiaTheme="minorEastAsia"/>
                <w:noProof/>
              </w:rPr>
            </w:pPr>
            <w:r>
              <w:rPr>
                <w:rFonts w:eastAsiaTheme="minorEastAsia"/>
                <w:noProof/>
              </w:rPr>
              <w:t>Attn: </w:t>
            </w:r>
            <w:r>
              <w:rPr>
                <w:u w:val="single"/>
              </w:rPr>
              <w:tab/>
            </w:r>
          </w:p>
          <w:p>
            <w:pPr>
              <w:spacing w:after="0"/>
              <w:ind w:firstLine="0"/>
              <w:jc w:val="left"/>
              <w:rPr>
                <w:rFonts w:eastAsiaTheme="minorEastAsia"/>
                <w:noProof/>
              </w:rPr>
            </w:pPr>
            <w:r>
              <w:rPr>
                <w:rFonts w:eastAsiaTheme="minorEastAsia"/>
                <w:noProof/>
              </w:rPr>
              <w:t>P. O. Box 97034</w:t>
            </w:r>
          </w:p>
          <w:p>
            <w:pPr>
              <w:spacing w:after="0"/>
              <w:ind w:firstLine="0"/>
              <w:jc w:val="left"/>
            </w:pPr>
            <w:r>
              <w:rPr>
                <w:rFonts w:eastAsiaTheme="minorEastAsia"/>
                <w:noProof/>
              </w:rPr>
              <w:t>Bellevue WA 98009-9734</w:t>
            </w:r>
          </w:p>
        </w:tc>
        <w:tc>
          <w:tcPr>
            <w:tcW w:w="3310" w:type="dxa"/>
            <w:tcBorders>
              <w:top w:val="nil"/>
              <w:left w:val="nil"/>
              <w:bottom w:val="nil"/>
              <w:right w:val="nil"/>
            </w:tcBorders>
          </w:tcPr>
          <w:p>
            <w:pPr>
              <w:ind w:firstLine="0"/>
              <w:jc w:val="left"/>
              <w:rPr>
                <w:rFonts w:eastAsiaTheme="minorEastAsia"/>
                <w:noProof/>
              </w:rPr>
            </w:pPr>
            <w:r>
              <w:rPr>
                <w:rFonts w:eastAsiaTheme="minorEastAsia"/>
                <w:b/>
                <w:bCs/>
                <w:i/>
                <w:iCs/>
                <w:noProof/>
                <w:color w:val="000080"/>
              </w:rPr>
              <w:t>Physical Location:</w:t>
            </w:r>
          </w:p>
          <w:p>
            <w:pPr>
              <w:spacing w:after="0"/>
              <w:ind w:firstLine="0"/>
              <w:jc w:val="left"/>
              <w:rPr>
                <w:rFonts w:eastAsiaTheme="minorEastAsia"/>
                <w:noProof/>
              </w:rPr>
            </w:pPr>
            <w:r>
              <w:rPr>
                <w:rFonts w:eastAsiaTheme="minorEastAsia"/>
                <w:noProof/>
              </w:rPr>
              <w:t xml:space="preserve">Puget Sound Energy, BEL11E </w:t>
            </w:r>
          </w:p>
          <w:p>
            <w:pPr>
              <w:tabs>
                <w:tab w:val="right" w:pos="2503"/>
              </w:tabs>
              <w:spacing w:after="0"/>
              <w:ind w:firstLine="0"/>
              <w:jc w:val="left"/>
              <w:rPr>
                <w:rFonts w:eastAsiaTheme="minorEastAsia"/>
                <w:noProof/>
              </w:rPr>
            </w:pPr>
            <w:r>
              <w:rPr>
                <w:rFonts w:eastAsiaTheme="minorEastAsia"/>
                <w:noProof/>
              </w:rPr>
              <w:t>Attn: </w:t>
            </w:r>
            <w:r>
              <w:rPr>
                <w:u w:val="single"/>
              </w:rPr>
              <w:tab/>
            </w:r>
          </w:p>
          <w:p>
            <w:pPr>
              <w:spacing w:after="0"/>
              <w:ind w:firstLine="0"/>
              <w:jc w:val="left"/>
              <w:rPr>
                <w:rFonts w:eastAsiaTheme="minorEastAsia"/>
                <w:noProof/>
              </w:rPr>
            </w:pPr>
            <w:r>
              <w:rPr>
                <w:rFonts w:eastAsiaTheme="minorEastAsia"/>
                <w:noProof/>
              </w:rPr>
              <w:t>355 – 110</w:t>
            </w:r>
            <w:r>
              <w:rPr>
                <w:rFonts w:eastAsiaTheme="minorEastAsia"/>
                <w:noProof/>
                <w:vertAlign w:val="superscript"/>
              </w:rPr>
              <w:t>TH</w:t>
            </w:r>
            <w:r>
              <w:rPr>
                <w:rFonts w:eastAsiaTheme="minorEastAsia"/>
                <w:noProof/>
              </w:rPr>
              <w:t xml:space="preserve"> AVE NE </w:t>
            </w:r>
          </w:p>
          <w:p>
            <w:pPr>
              <w:spacing w:after="0"/>
              <w:ind w:firstLine="0"/>
              <w:jc w:val="left"/>
            </w:pPr>
            <w:r>
              <w:rPr>
                <w:rFonts w:eastAsiaTheme="minorEastAsia"/>
                <w:noProof/>
              </w:rPr>
              <w:t>Bellevue WA 98004</w:t>
            </w:r>
          </w:p>
        </w:tc>
      </w:tr>
      <w:tr>
        <w:tc>
          <w:tcPr>
            <w:tcW w:w="2970" w:type="dxa"/>
            <w:tcBorders>
              <w:top w:val="nil"/>
              <w:left w:val="nil"/>
              <w:bottom w:val="nil"/>
              <w:right w:val="nil"/>
            </w:tcBorders>
          </w:tcPr>
          <w:p>
            <w:pPr>
              <w:spacing w:before="240"/>
              <w:ind w:left="159" w:firstLine="0"/>
              <w:jc w:val="left"/>
              <w:rPr>
                <w:b/>
              </w:rPr>
            </w:pPr>
          </w:p>
        </w:tc>
        <w:tc>
          <w:tcPr>
            <w:tcW w:w="6580" w:type="dxa"/>
            <w:gridSpan w:val="3"/>
            <w:tcBorders>
              <w:top w:val="nil"/>
              <w:left w:val="nil"/>
              <w:bottom w:val="nil"/>
              <w:right w:val="nil"/>
            </w:tcBorders>
          </w:tcPr>
          <w:p>
            <w:pPr>
              <w:tabs>
                <w:tab w:val="right" w:pos="2786"/>
              </w:tabs>
              <w:spacing w:before="240" w:after="0"/>
              <w:ind w:left="703" w:hanging="703"/>
              <w:jc w:val="left"/>
            </w:pPr>
            <w:r>
              <w:t>Email:</w:t>
            </w:r>
            <w:r>
              <w:rPr>
                <w:b/>
              </w:rPr>
              <w:t xml:space="preserve"> </w:t>
            </w:r>
            <w:r>
              <w:rPr>
                <w:b/>
              </w:rPr>
              <w:tab/>
            </w:r>
            <w:r>
              <w:rPr>
                <w:b/>
                <w:u w:val="single"/>
              </w:rPr>
              <w:tab/>
            </w:r>
          </w:p>
        </w:tc>
      </w:tr>
      <w:tr>
        <w:tc>
          <w:tcPr>
            <w:tcW w:w="2970" w:type="dxa"/>
            <w:tcBorders>
              <w:top w:val="nil"/>
              <w:left w:val="nil"/>
              <w:bottom w:val="nil"/>
              <w:right w:val="nil"/>
            </w:tcBorders>
          </w:tcPr>
          <w:p>
            <w:pPr>
              <w:spacing w:before="240"/>
              <w:ind w:left="159" w:firstLine="0"/>
              <w:jc w:val="left"/>
              <w:rPr>
                <w:b/>
              </w:rPr>
            </w:pPr>
          </w:p>
        </w:tc>
        <w:tc>
          <w:tcPr>
            <w:tcW w:w="6580" w:type="dxa"/>
            <w:gridSpan w:val="3"/>
            <w:tcBorders>
              <w:top w:val="nil"/>
              <w:left w:val="nil"/>
              <w:bottom w:val="nil"/>
              <w:right w:val="nil"/>
            </w:tcBorders>
          </w:tcPr>
          <w:p>
            <w:pPr>
              <w:tabs>
                <w:tab w:val="right" w:pos="2786"/>
              </w:tabs>
              <w:spacing w:before="240" w:after="0"/>
              <w:ind w:left="703" w:hanging="703"/>
              <w:jc w:val="left"/>
            </w:pPr>
            <w:r>
              <w:t>with a copy to:</w:t>
            </w:r>
          </w:p>
        </w:tc>
      </w:tr>
      <w:tr>
        <w:trPr>
          <w:gridAfter w:val="1"/>
          <w:wAfter w:w="80" w:type="dxa"/>
        </w:trPr>
        <w:tc>
          <w:tcPr>
            <w:tcW w:w="2970" w:type="dxa"/>
            <w:tcBorders>
              <w:top w:val="nil"/>
              <w:left w:val="nil"/>
              <w:bottom w:val="nil"/>
              <w:right w:val="nil"/>
            </w:tcBorders>
          </w:tcPr>
          <w:p>
            <w:pPr>
              <w:ind w:left="159" w:firstLine="0"/>
              <w:jc w:val="left"/>
              <w:rPr>
                <w:b/>
              </w:rPr>
            </w:pPr>
          </w:p>
        </w:tc>
        <w:tc>
          <w:tcPr>
            <w:tcW w:w="3190" w:type="dxa"/>
            <w:tcBorders>
              <w:top w:val="nil"/>
              <w:left w:val="nil"/>
              <w:bottom w:val="nil"/>
              <w:right w:val="nil"/>
            </w:tcBorders>
          </w:tcPr>
          <w:p>
            <w:pPr>
              <w:ind w:firstLine="0"/>
              <w:jc w:val="left"/>
              <w:rPr>
                <w:rFonts w:eastAsiaTheme="minorEastAsia"/>
                <w:noProof/>
              </w:rPr>
            </w:pPr>
            <w:r>
              <w:rPr>
                <w:rFonts w:eastAsiaTheme="minorEastAsia"/>
                <w:b/>
                <w:bCs/>
                <w:i/>
                <w:iCs/>
                <w:noProof/>
                <w:color w:val="000080"/>
              </w:rPr>
              <w:t>Mailing Address:</w:t>
            </w:r>
          </w:p>
          <w:p>
            <w:pPr>
              <w:spacing w:after="0"/>
              <w:ind w:firstLine="0"/>
              <w:jc w:val="left"/>
              <w:rPr>
                <w:rFonts w:eastAsiaTheme="minorEastAsia"/>
                <w:noProof/>
              </w:rPr>
            </w:pPr>
            <w:r>
              <w:rPr>
                <w:rFonts w:eastAsiaTheme="minorEastAsia"/>
                <w:noProof/>
              </w:rPr>
              <w:t>Puget Sound Energy, BEL11E</w:t>
            </w:r>
          </w:p>
          <w:p>
            <w:pPr>
              <w:tabs>
                <w:tab w:val="right" w:pos="2503"/>
              </w:tabs>
              <w:spacing w:after="0"/>
              <w:ind w:firstLine="0"/>
              <w:jc w:val="left"/>
              <w:rPr>
                <w:rFonts w:eastAsiaTheme="minorEastAsia"/>
                <w:noProof/>
              </w:rPr>
            </w:pPr>
            <w:r>
              <w:rPr>
                <w:rFonts w:eastAsiaTheme="minorEastAsia"/>
                <w:noProof/>
              </w:rPr>
              <w:t>Attn: </w:t>
            </w:r>
            <w:r>
              <w:t>General Counsel</w:t>
            </w:r>
          </w:p>
          <w:p>
            <w:pPr>
              <w:spacing w:after="0"/>
              <w:ind w:firstLine="0"/>
              <w:jc w:val="left"/>
              <w:rPr>
                <w:rFonts w:eastAsiaTheme="minorEastAsia"/>
                <w:noProof/>
              </w:rPr>
            </w:pPr>
            <w:r>
              <w:rPr>
                <w:rFonts w:eastAsiaTheme="minorEastAsia"/>
                <w:noProof/>
              </w:rPr>
              <w:t>P. O. Box 97034</w:t>
            </w:r>
          </w:p>
          <w:p>
            <w:pPr>
              <w:spacing w:after="0"/>
              <w:ind w:firstLine="0"/>
              <w:jc w:val="left"/>
            </w:pPr>
            <w:r>
              <w:rPr>
                <w:rFonts w:eastAsiaTheme="minorEastAsia"/>
                <w:noProof/>
              </w:rPr>
              <w:t>Bellevue WA 98009-9734</w:t>
            </w:r>
          </w:p>
        </w:tc>
        <w:tc>
          <w:tcPr>
            <w:tcW w:w="3310" w:type="dxa"/>
            <w:tcBorders>
              <w:top w:val="nil"/>
              <w:left w:val="nil"/>
              <w:bottom w:val="nil"/>
              <w:right w:val="nil"/>
            </w:tcBorders>
          </w:tcPr>
          <w:p>
            <w:pPr>
              <w:ind w:firstLine="0"/>
              <w:jc w:val="left"/>
              <w:rPr>
                <w:rFonts w:eastAsiaTheme="minorEastAsia"/>
                <w:noProof/>
              </w:rPr>
            </w:pPr>
            <w:r>
              <w:rPr>
                <w:rFonts w:eastAsiaTheme="minorEastAsia"/>
                <w:b/>
                <w:bCs/>
                <w:i/>
                <w:iCs/>
                <w:noProof/>
                <w:color w:val="000080"/>
              </w:rPr>
              <w:t>Physical Location:</w:t>
            </w:r>
          </w:p>
          <w:p>
            <w:pPr>
              <w:spacing w:after="0"/>
              <w:ind w:firstLine="0"/>
              <w:jc w:val="left"/>
              <w:rPr>
                <w:rFonts w:eastAsiaTheme="minorEastAsia"/>
                <w:noProof/>
              </w:rPr>
            </w:pPr>
            <w:r>
              <w:rPr>
                <w:rFonts w:eastAsiaTheme="minorEastAsia"/>
                <w:noProof/>
              </w:rPr>
              <w:t xml:space="preserve">Puget Sound Energy, BEL11E </w:t>
            </w:r>
          </w:p>
          <w:p>
            <w:pPr>
              <w:tabs>
                <w:tab w:val="right" w:pos="2503"/>
              </w:tabs>
              <w:spacing w:after="0"/>
              <w:ind w:firstLine="0"/>
              <w:jc w:val="left"/>
              <w:rPr>
                <w:rFonts w:eastAsiaTheme="minorEastAsia"/>
                <w:noProof/>
              </w:rPr>
            </w:pPr>
            <w:r>
              <w:rPr>
                <w:rFonts w:eastAsiaTheme="minorEastAsia"/>
                <w:noProof/>
              </w:rPr>
              <w:t>Attn: </w:t>
            </w:r>
            <w:r>
              <w:t>General Counsel</w:t>
            </w:r>
          </w:p>
          <w:p>
            <w:pPr>
              <w:spacing w:after="0"/>
              <w:ind w:firstLine="0"/>
              <w:jc w:val="left"/>
              <w:rPr>
                <w:rFonts w:eastAsiaTheme="minorEastAsia"/>
                <w:noProof/>
              </w:rPr>
            </w:pPr>
            <w:r>
              <w:rPr>
                <w:rFonts w:eastAsiaTheme="minorEastAsia"/>
                <w:noProof/>
              </w:rPr>
              <w:t>355 – 110</w:t>
            </w:r>
            <w:r>
              <w:rPr>
                <w:rFonts w:eastAsiaTheme="minorEastAsia"/>
                <w:noProof/>
                <w:vertAlign w:val="superscript"/>
              </w:rPr>
              <w:t>TH</w:t>
            </w:r>
            <w:r>
              <w:rPr>
                <w:rFonts w:eastAsiaTheme="minorEastAsia"/>
                <w:noProof/>
              </w:rPr>
              <w:t xml:space="preserve"> AVE NE </w:t>
            </w:r>
          </w:p>
          <w:p>
            <w:pPr>
              <w:spacing w:after="0"/>
              <w:ind w:firstLine="0"/>
              <w:jc w:val="left"/>
            </w:pPr>
            <w:r>
              <w:rPr>
                <w:rFonts w:eastAsiaTheme="minorEastAsia"/>
                <w:noProof/>
              </w:rPr>
              <w:t>Bellevue WA 98004</w:t>
            </w:r>
          </w:p>
        </w:tc>
      </w:tr>
      <w:tr>
        <w:trPr>
          <w:gridAfter w:val="1"/>
          <w:wAfter w:w="80" w:type="dxa"/>
        </w:trPr>
        <w:tc>
          <w:tcPr>
            <w:tcW w:w="2970" w:type="dxa"/>
            <w:tcBorders>
              <w:top w:val="nil"/>
              <w:left w:val="nil"/>
              <w:bottom w:val="nil"/>
              <w:right w:val="nil"/>
            </w:tcBorders>
          </w:tcPr>
          <w:p>
            <w:pPr>
              <w:ind w:left="159" w:firstLine="0"/>
              <w:jc w:val="left"/>
              <w:rPr>
                <w:b/>
              </w:rPr>
            </w:pPr>
          </w:p>
        </w:tc>
        <w:tc>
          <w:tcPr>
            <w:tcW w:w="3190" w:type="dxa"/>
            <w:tcBorders>
              <w:top w:val="nil"/>
              <w:left w:val="nil"/>
              <w:bottom w:val="nil"/>
              <w:right w:val="nil"/>
            </w:tcBorders>
          </w:tcPr>
          <w:p>
            <w:pPr>
              <w:ind w:firstLine="0"/>
              <w:jc w:val="left"/>
              <w:rPr>
                <w:b/>
                <w:i/>
                <w:color w:val="000080"/>
              </w:rPr>
            </w:pPr>
          </w:p>
        </w:tc>
        <w:tc>
          <w:tcPr>
            <w:tcW w:w="3310" w:type="dxa"/>
            <w:tcBorders>
              <w:top w:val="nil"/>
              <w:left w:val="nil"/>
              <w:bottom w:val="nil"/>
              <w:right w:val="nil"/>
            </w:tcBorders>
          </w:tcPr>
          <w:p>
            <w:pPr>
              <w:ind w:firstLine="0"/>
              <w:jc w:val="left"/>
              <w:rPr>
                <w:rFonts w:eastAsiaTheme="minorEastAsia"/>
                <w:b/>
                <w:bCs/>
                <w:i/>
                <w:iCs/>
                <w:noProof/>
                <w:color w:val="000080"/>
              </w:rPr>
            </w:pPr>
          </w:p>
        </w:tc>
      </w:tr>
      <w:tr>
        <w:trPr>
          <w:gridAfter w:val="1"/>
          <w:wAfter w:w="80" w:type="dxa"/>
        </w:trPr>
        <w:tc>
          <w:tcPr>
            <w:tcW w:w="2970" w:type="dxa"/>
            <w:tcBorders>
              <w:top w:val="nil"/>
              <w:left w:val="nil"/>
              <w:bottom w:val="nil"/>
              <w:right w:val="nil"/>
            </w:tcBorders>
          </w:tcPr>
          <w:p>
            <w:pPr>
              <w:ind w:left="159" w:firstLine="0"/>
              <w:jc w:val="left"/>
              <w:rPr>
                <w:b/>
              </w:rPr>
            </w:pPr>
            <w:r>
              <w:rPr>
                <w:b/>
              </w:rPr>
              <w:t>To Seller:</w:t>
            </w:r>
          </w:p>
        </w:tc>
        <w:tc>
          <w:tcPr>
            <w:tcW w:w="3190" w:type="dxa"/>
            <w:tcBorders>
              <w:top w:val="nil"/>
              <w:left w:val="nil"/>
              <w:bottom w:val="nil"/>
              <w:right w:val="nil"/>
            </w:tcBorders>
          </w:tcPr>
          <w:p>
            <w:pPr>
              <w:tabs>
                <w:tab w:val="right" w:pos="2773"/>
              </w:tabs>
              <w:spacing w:after="0"/>
              <w:ind w:firstLine="0"/>
              <w:jc w:val="left"/>
              <w:rPr>
                <w:rFonts w:eastAsiaTheme="minorEastAsia"/>
                <w:b/>
                <w:i/>
                <w:noProof/>
                <w:color w:val="000000" w:themeColor="text1"/>
              </w:rPr>
            </w:pPr>
            <w:r>
              <w:rPr>
                <w:rFonts w:eastAsiaTheme="minorEastAsia"/>
                <w:b/>
                <w:i/>
                <w:noProof/>
                <w:color w:val="000000" w:themeColor="text1"/>
              </w:rPr>
              <w:t>Mailing Address</w:t>
            </w:r>
          </w:p>
          <w:p>
            <w:pPr>
              <w:tabs>
                <w:tab w:val="right" w:pos="2773"/>
              </w:tabs>
              <w:spacing w:after="0"/>
              <w:ind w:firstLine="0"/>
              <w:jc w:val="left"/>
              <w:rPr>
                <w:rFonts w:eastAsiaTheme="minorEastAsia"/>
                <w:bCs/>
                <w:iCs/>
                <w:noProof/>
                <w:color w:val="000000" w:themeColor="text1"/>
              </w:rPr>
            </w:pPr>
          </w:p>
          <w:p>
            <w:pPr>
              <w:tabs>
                <w:tab w:val="right" w:pos="2773"/>
              </w:tabs>
              <w:spacing w:after="0"/>
              <w:ind w:firstLine="0"/>
              <w:jc w:val="left"/>
              <w:rPr>
                <w:rFonts w:eastAsiaTheme="minorEastAsia"/>
                <w:bCs/>
                <w:iCs/>
                <w:noProof/>
                <w:color w:val="000000" w:themeColor="text1"/>
              </w:rPr>
            </w:pPr>
            <w:r>
              <w:rPr>
                <w:rFonts w:eastAsiaTheme="minorEastAsia"/>
                <w:bCs/>
                <w:iCs/>
                <w:noProof/>
                <w:color w:val="000000" w:themeColor="text1"/>
              </w:rPr>
              <w:t>[</w:t>
            </w:r>
            <w:r>
              <w:rPr>
                <w:color w:val="000000" w:themeColor="text1"/>
                <w:u w:val="single"/>
              </w:rPr>
              <w:tab/>
            </w:r>
            <w:r>
              <w:rPr>
                <w:rFonts w:eastAsiaTheme="minorEastAsia"/>
                <w:bCs/>
                <w:iCs/>
                <w:noProof/>
                <w:color w:val="000000" w:themeColor="text1"/>
              </w:rPr>
              <w:t>]</w:t>
            </w:r>
          </w:p>
          <w:p>
            <w:pPr>
              <w:tabs>
                <w:tab w:val="right" w:pos="2773"/>
              </w:tabs>
              <w:spacing w:after="0"/>
              <w:ind w:firstLine="0"/>
              <w:jc w:val="left"/>
              <w:rPr>
                <w:rFonts w:eastAsiaTheme="minorEastAsia"/>
                <w:noProof/>
                <w:color w:val="000000" w:themeColor="text1"/>
              </w:rPr>
            </w:pPr>
            <w:r>
              <w:rPr>
                <w:rFonts w:eastAsiaTheme="minorEastAsia"/>
                <w:bCs/>
                <w:iCs/>
                <w:noProof/>
                <w:color w:val="000000" w:themeColor="text1"/>
              </w:rPr>
              <w:t>Attn: </w:t>
            </w:r>
          </w:p>
          <w:p>
            <w:pPr>
              <w:tabs>
                <w:tab w:val="right" w:pos="2773"/>
              </w:tabs>
              <w:spacing w:after="0"/>
              <w:ind w:firstLine="0"/>
              <w:jc w:val="left"/>
              <w:rPr>
                <w:rFonts w:eastAsiaTheme="minorEastAsia"/>
                <w:bCs/>
                <w:iCs/>
                <w:noProof/>
                <w:color w:val="000000" w:themeColor="text1"/>
              </w:rPr>
            </w:pPr>
          </w:p>
          <w:p>
            <w:pPr>
              <w:ind w:firstLine="0"/>
              <w:jc w:val="left"/>
              <w:rPr>
                <w:b/>
                <w:i/>
                <w:color w:val="000080"/>
              </w:rPr>
            </w:pPr>
            <w:r>
              <w:rPr>
                <w:rFonts w:eastAsiaTheme="minorEastAsia"/>
                <w:noProof/>
                <w:color w:val="000000" w:themeColor="text1"/>
              </w:rPr>
              <w:t xml:space="preserve">Email: </w:t>
            </w:r>
          </w:p>
        </w:tc>
        <w:tc>
          <w:tcPr>
            <w:tcW w:w="3310" w:type="dxa"/>
            <w:tcBorders>
              <w:top w:val="nil"/>
              <w:left w:val="nil"/>
              <w:bottom w:val="nil"/>
              <w:right w:val="nil"/>
            </w:tcBorders>
          </w:tcPr>
          <w:p>
            <w:pPr>
              <w:ind w:firstLine="0"/>
              <w:jc w:val="left"/>
              <w:rPr>
                <w:rFonts w:eastAsiaTheme="minorEastAsia"/>
                <w:b/>
                <w:bCs/>
                <w:i/>
                <w:iCs/>
                <w:noProof/>
                <w:color w:val="000000" w:themeColor="text1"/>
              </w:rPr>
            </w:pPr>
            <w:r>
              <w:rPr>
                <w:rFonts w:eastAsiaTheme="minorEastAsia"/>
                <w:b/>
                <w:bCs/>
                <w:i/>
                <w:iCs/>
                <w:noProof/>
                <w:color w:val="000000" w:themeColor="text1"/>
              </w:rPr>
              <w:t>Physical Location</w:t>
            </w:r>
          </w:p>
          <w:p>
            <w:pPr>
              <w:tabs>
                <w:tab w:val="right" w:pos="2773"/>
              </w:tabs>
              <w:spacing w:after="0"/>
              <w:ind w:firstLine="0"/>
              <w:jc w:val="left"/>
              <w:rPr>
                <w:rFonts w:eastAsiaTheme="minorEastAsia"/>
                <w:bCs/>
                <w:iCs/>
                <w:noProof/>
                <w:color w:val="000000" w:themeColor="text1"/>
              </w:rPr>
            </w:pPr>
            <w:r>
              <w:rPr>
                <w:rFonts w:eastAsiaTheme="minorEastAsia"/>
                <w:bCs/>
                <w:iCs/>
                <w:noProof/>
                <w:color w:val="000000" w:themeColor="text1"/>
              </w:rPr>
              <w:t>[</w:t>
            </w:r>
            <w:r>
              <w:rPr>
                <w:color w:val="000000" w:themeColor="text1"/>
                <w:u w:val="single"/>
              </w:rPr>
              <w:tab/>
            </w:r>
            <w:r>
              <w:rPr>
                <w:rFonts w:eastAsiaTheme="minorEastAsia"/>
                <w:bCs/>
                <w:iCs/>
                <w:noProof/>
                <w:color w:val="000000" w:themeColor="text1"/>
              </w:rPr>
              <w:t>]</w:t>
            </w:r>
          </w:p>
          <w:p>
            <w:pPr>
              <w:tabs>
                <w:tab w:val="right" w:pos="2773"/>
              </w:tabs>
              <w:spacing w:after="0"/>
              <w:ind w:firstLine="0"/>
              <w:jc w:val="left"/>
              <w:rPr>
                <w:rFonts w:eastAsiaTheme="minorEastAsia"/>
                <w:b/>
                <w:bCs/>
                <w:i/>
                <w:iCs/>
                <w:noProof/>
                <w:color w:val="000080"/>
              </w:rPr>
            </w:pPr>
            <w:r>
              <w:rPr>
                <w:rFonts w:eastAsiaTheme="minorEastAsia"/>
                <w:bCs/>
                <w:iCs/>
                <w:noProof/>
                <w:color w:val="000000" w:themeColor="text1"/>
              </w:rPr>
              <w:t>Attn: </w:t>
            </w:r>
            <w:r>
              <w:rPr>
                <w:rFonts w:eastAsiaTheme="minorEastAsia"/>
                <w:b/>
                <w:bCs/>
                <w:i/>
                <w:iCs/>
                <w:noProof/>
                <w:color w:val="000080"/>
              </w:rPr>
              <w:t xml:space="preserve"> </w:t>
            </w:r>
          </w:p>
        </w:tc>
      </w:tr>
      <w:tr>
        <w:trPr>
          <w:gridAfter w:val="2"/>
          <w:wAfter w:w="3390" w:type="dxa"/>
        </w:trPr>
        <w:tc>
          <w:tcPr>
            <w:tcW w:w="2970" w:type="dxa"/>
            <w:tcBorders>
              <w:top w:val="nil"/>
              <w:left w:val="nil"/>
              <w:bottom w:val="nil"/>
              <w:right w:val="nil"/>
            </w:tcBorders>
          </w:tcPr>
          <w:p>
            <w:pPr>
              <w:ind w:left="159" w:firstLine="0"/>
              <w:jc w:val="left"/>
              <w:rPr>
                <w:b/>
              </w:rPr>
            </w:pPr>
          </w:p>
        </w:tc>
        <w:tc>
          <w:tcPr>
            <w:tcW w:w="3190" w:type="dxa"/>
            <w:tcBorders>
              <w:top w:val="nil"/>
              <w:left w:val="nil"/>
              <w:bottom w:val="nil"/>
              <w:right w:val="nil"/>
            </w:tcBorders>
          </w:tcPr>
          <w:p>
            <w:pPr>
              <w:spacing w:after="0"/>
              <w:ind w:firstLine="0"/>
              <w:jc w:val="left"/>
            </w:pPr>
          </w:p>
        </w:tc>
      </w:tr>
      <w:tr>
        <w:trPr>
          <w:gridAfter w:val="2"/>
          <w:wAfter w:w="3390" w:type="dxa"/>
        </w:trPr>
        <w:tc>
          <w:tcPr>
            <w:tcW w:w="2970" w:type="dxa"/>
            <w:tcBorders>
              <w:top w:val="nil"/>
              <w:left w:val="nil"/>
              <w:bottom w:val="nil"/>
              <w:right w:val="nil"/>
            </w:tcBorders>
          </w:tcPr>
          <w:p>
            <w:pPr>
              <w:ind w:left="159" w:firstLine="0"/>
              <w:jc w:val="left"/>
              <w:rPr>
                <w:b/>
              </w:rPr>
            </w:pPr>
          </w:p>
        </w:tc>
        <w:tc>
          <w:tcPr>
            <w:tcW w:w="3190" w:type="dxa"/>
            <w:tcBorders>
              <w:top w:val="nil"/>
              <w:left w:val="nil"/>
              <w:bottom w:val="nil"/>
              <w:right w:val="nil"/>
            </w:tcBorders>
          </w:tcPr>
          <w:p>
            <w:pPr>
              <w:tabs>
                <w:tab w:val="right" w:pos="2773"/>
              </w:tabs>
              <w:spacing w:after="0"/>
              <w:ind w:firstLine="0"/>
              <w:jc w:val="left"/>
              <w:rPr>
                <w:rFonts w:eastAsiaTheme="minorEastAsia"/>
                <w:noProof/>
                <w:color w:val="000000" w:themeColor="text1"/>
              </w:rPr>
            </w:pPr>
          </w:p>
        </w:tc>
      </w:tr>
    </w:tbl>
    <w:p>
      <w:pPr>
        <w:pStyle w:val="APPENDIXoutlinedc2"/>
        <w:keepNext/>
        <w:keepLines/>
      </w:pPr>
      <w:bookmarkStart w:id="177" w:name="_docxtools_433"/>
      <w:r>
        <w:lastRenderedPageBreak/>
        <w:t>Termination Liquidated Damages Table (PPA Section </w:t>
      </w:r>
      <w:r>
        <w:fldChar w:fldCharType="begin"/>
      </w:r>
      <w:r>
        <w:instrText xml:space="preserve"> REF _Ref140340677 \w \h  \* MERGEFORMAT </w:instrText>
      </w:r>
      <w:r>
        <w:fldChar w:fldCharType="separate"/>
      </w:r>
      <w:r>
        <w:t>17.2.2</w:t>
      </w:r>
      <w:r>
        <w:fldChar w:fldCharType="end"/>
      </w:r>
      <w:r>
        <w:t>):</w:t>
      </w:r>
      <w:bookmarkEnd w:id="177"/>
    </w:p>
    <w:p>
      <w:pPr>
        <w:keepNext/>
        <w:keepLines/>
        <w:spacing w:before="360"/>
        <w:ind w:firstLine="0"/>
        <w:rPr>
          <w:bCs/>
        </w:rPr>
      </w:pPr>
      <w:r>
        <w:rPr>
          <w:b/>
        </w:rPr>
        <w:tab/>
      </w:r>
      <w:r>
        <w:rPr>
          <w:b/>
        </w:rPr>
        <w:tab/>
        <w:t xml:space="preserve">Amount per kW:  </w:t>
      </w:r>
      <w:r>
        <w:rPr>
          <w:bCs/>
        </w:rPr>
        <w:t>[$</w:t>
      </w:r>
      <w:r>
        <w:rPr>
          <w:bCs/>
        </w:rPr>
        <w:tab/>
        <w:t>]</w:t>
      </w:r>
    </w:p>
    <w:p>
      <w:pPr>
        <w:ind w:firstLine="0"/>
      </w:pPr>
    </w:p>
    <w:p>
      <w:pPr>
        <w:sectPr>
          <w:footerReference w:type="default" r:id="rId19"/>
          <w:pgSz w:w="12240" w:h="15840"/>
          <w:pgMar w:top="1440" w:right="1440" w:bottom="1440" w:left="1440" w:header="720" w:footer="720" w:gutter="0"/>
          <w:pgNumType w:start="1"/>
          <w:cols w:space="720"/>
          <w:docGrid w:linePitch="360"/>
        </w:sectPr>
      </w:pPr>
    </w:p>
    <w:p>
      <w:pPr>
        <w:pStyle w:val="APPENDIXoutlinedc1"/>
      </w:pPr>
      <w:r>
        <w:lastRenderedPageBreak/>
        <w:br/>
      </w:r>
      <w:bookmarkStart w:id="178" w:name="_docxtools_437"/>
      <w:r>
        <w:br/>
      </w:r>
      <w:bookmarkStart w:id="179" w:name="_Toc166243865"/>
      <w:r>
        <w:t>PRICE SCHEDULE</w:t>
      </w:r>
      <w:bookmarkEnd w:id="178"/>
      <w:bookmarkEnd w:id="179"/>
    </w:p>
    <w:tbl>
      <w:tblPr>
        <w:tblW w:w="0" w:type="auto"/>
        <w:tblInd w:w="1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tblGrid>
      <w:tr>
        <w:tc>
          <w:tcPr>
            <w:tcW w:w="2700" w:type="dxa"/>
            <w:vAlign w:val="center"/>
          </w:tcPr>
          <w:p>
            <w:pPr>
              <w:spacing w:line="240" w:lineRule="auto"/>
              <w:rPr>
                <w:rFonts w:eastAsia="PMingLiU"/>
                <w:b/>
                <w:bCs/>
                <w:sz w:val="24"/>
                <w:szCs w:val="24"/>
              </w:rPr>
            </w:pPr>
            <w:r>
              <w:rPr>
                <w:rFonts w:eastAsia="PMingLiU"/>
                <w:b/>
                <w:bCs/>
                <w:sz w:val="24"/>
                <w:szCs w:val="24"/>
              </w:rPr>
              <w:t xml:space="preserve">Annual Period </w:t>
            </w:r>
          </w:p>
        </w:tc>
        <w:tc>
          <w:tcPr>
            <w:tcW w:w="2700" w:type="dxa"/>
            <w:vAlign w:val="center"/>
          </w:tcPr>
          <w:p>
            <w:pPr>
              <w:spacing w:line="240" w:lineRule="auto"/>
              <w:ind w:firstLine="0"/>
              <w:jc w:val="center"/>
              <w:rPr>
                <w:rFonts w:eastAsia="PMingLiU"/>
                <w:b/>
                <w:bCs/>
                <w:sz w:val="24"/>
                <w:szCs w:val="24"/>
              </w:rPr>
            </w:pPr>
            <w:r>
              <w:rPr>
                <w:rFonts w:eastAsia="PMingLiU"/>
                <w:b/>
                <w:bCs/>
                <w:sz w:val="24"/>
                <w:szCs w:val="24"/>
              </w:rPr>
              <w:t>Contract Price (Per kWh of Delivered Energy), Inclusive of All Attributes</w:t>
            </w:r>
          </w:p>
        </w:tc>
      </w:tr>
      <w:tr>
        <w:tc>
          <w:tcPr>
            <w:tcW w:w="2700" w:type="dxa"/>
          </w:tcPr>
          <w:p>
            <w:pPr>
              <w:spacing w:line="240" w:lineRule="auto"/>
              <w:jc w:val="center"/>
              <w:rPr>
                <w:rFonts w:eastAsia="PMingLiU"/>
                <w:sz w:val="24"/>
                <w:szCs w:val="24"/>
              </w:rPr>
            </w:pPr>
            <w:r>
              <w:rPr>
                <w:rFonts w:eastAsia="PMingLiU"/>
                <w:sz w:val="24"/>
                <w:szCs w:val="24"/>
              </w:rPr>
              <w:t>1</w:t>
            </w:r>
          </w:p>
        </w:tc>
        <w:tc>
          <w:tcPr>
            <w:tcW w:w="2700" w:type="dxa"/>
          </w:tcPr>
          <w:p>
            <w:pPr>
              <w:spacing w:line="240" w:lineRule="auto"/>
              <w:jc w:val="center"/>
              <w:rPr>
                <w:rFonts w:eastAsia="PMingLiU"/>
                <w:sz w:val="24"/>
                <w:szCs w:val="24"/>
              </w:rPr>
            </w:pPr>
          </w:p>
        </w:tc>
      </w:tr>
      <w:tr>
        <w:tc>
          <w:tcPr>
            <w:tcW w:w="2700" w:type="dxa"/>
          </w:tcPr>
          <w:p>
            <w:pPr>
              <w:spacing w:line="240" w:lineRule="auto"/>
              <w:jc w:val="center"/>
              <w:rPr>
                <w:rFonts w:eastAsia="PMingLiU"/>
                <w:sz w:val="24"/>
                <w:szCs w:val="24"/>
              </w:rPr>
            </w:pPr>
            <w:r>
              <w:rPr>
                <w:rFonts w:eastAsia="PMingLiU"/>
                <w:sz w:val="24"/>
                <w:szCs w:val="24"/>
              </w:rPr>
              <w:t>2</w:t>
            </w:r>
          </w:p>
        </w:tc>
        <w:tc>
          <w:tcPr>
            <w:tcW w:w="2700" w:type="dxa"/>
          </w:tcPr>
          <w:p>
            <w:pPr>
              <w:spacing w:line="240" w:lineRule="auto"/>
              <w:jc w:val="center"/>
              <w:rPr>
                <w:rFonts w:eastAsia="PMingLiU"/>
                <w:sz w:val="24"/>
                <w:szCs w:val="24"/>
              </w:rPr>
            </w:pPr>
          </w:p>
        </w:tc>
      </w:tr>
      <w:tr>
        <w:tc>
          <w:tcPr>
            <w:tcW w:w="2700" w:type="dxa"/>
          </w:tcPr>
          <w:p>
            <w:pPr>
              <w:spacing w:line="240" w:lineRule="auto"/>
              <w:jc w:val="center"/>
              <w:rPr>
                <w:rFonts w:eastAsia="PMingLiU"/>
                <w:sz w:val="24"/>
                <w:szCs w:val="24"/>
              </w:rPr>
            </w:pPr>
            <w:r>
              <w:rPr>
                <w:rFonts w:eastAsia="PMingLiU"/>
                <w:sz w:val="24"/>
                <w:szCs w:val="24"/>
              </w:rPr>
              <w:t>3</w:t>
            </w:r>
          </w:p>
        </w:tc>
        <w:tc>
          <w:tcPr>
            <w:tcW w:w="2700" w:type="dxa"/>
          </w:tcPr>
          <w:p>
            <w:pPr>
              <w:spacing w:line="240" w:lineRule="auto"/>
              <w:jc w:val="center"/>
              <w:rPr>
                <w:rFonts w:eastAsia="PMingLiU"/>
                <w:sz w:val="24"/>
                <w:szCs w:val="24"/>
              </w:rPr>
            </w:pPr>
          </w:p>
        </w:tc>
      </w:tr>
      <w:tr>
        <w:tc>
          <w:tcPr>
            <w:tcW w:w="2700" w:type="dxa"/>
          </w:tcPr>
          <w:p>
            <w:pPr>
              <w:spacing w:line="240" w:lineRule="auto"/>
              <w:jc w:val="center"/>
              <w:rPr>
                <w:rFonts w:eastAsia="PMingLiU"/>
                <w:sz w:val="24"/>
                <w:szCs w:val="24"/>
              </w:rPr>
            </w:pPr>
            <w:r>
              <w:rPr>
                <w:rFonts w:eastAsia="PMingLiU"/>
                <w:sz w:val="24"/>
                <w:szCs w:val="24"/>
              </w:rPr>
              <w:t>4</w:t>
            </w:r>
          </w:p>
        </w:tc>
        <w:tc>
          <w:tcPr>
            <w:tcW w:w="2700" w:type="dxa"/>
          </w:tcPr>
          <w:p>
            <w:pPr>
              <w:spacing w:line="240" w:lineRule="auto"/>
              <w:jc w:val="center"/>
              <w:rPr>
                <w:rFonts w:eastAsia="PMingLiU"/>
                <w:sz w:val="24"/>
                <w:szCs w:val="24"/>
              </w:rPr>
            </w:pPr>
          </w:p>
        </w:tc>
      </w:tr>
      <w:tr>
        <w:tc>
          <w:tcPr>
            <w:tcW w:w="2700" w:type="dxa"/>
          </w:tcPr>
          <w:p>
            <w:pPr>
              <w:spacing w:line="240" w:lineRule="auto"/>
              <w:jc w:val="center"/>
              <w:rPr>
                <w:rFonts w:eastAsia="PMingLiU"/>
                <w:sz w:val="24"/>
                <w:szCs w:val="24"/>
              </w:rPr>
            </w:pPr>
            <w:r>
              <w:rPr>
                <w:rFonts w:eastAsia="PMingLiU"/>
                <w:sz w:val="24"/>
                <w:szCs w:val="24"/>
              </w:rPr>
              <w:t>5</w:t>
            </w:r>
          </w:p>
        </w:tc>
        <w:tc>
          <w:tcPr>
            <w:tcW w:w="2700" w:type="dxa"/>
          </w:tcPr>
          <w:p>
            <w:pPr>
              <w:spacing w:line="240" w:lineRule="auto"/>
              <w:jc w:val="center"/>
              <w:rPr>
                <w:rFonts w:eastAsia="PMingLiU"/>
                <w:sz w:val="24"/>
                <w:szCs w:val="24"/>
              </w:rPr>
            </w:pPr>
          </w:p>
        </w:tc>
      </w:tr>
      <w:tr>
        <w:tc>
          <w:tcPr>
            <w:tcW w:w="2700" w:type="dxa"/>
          </w:tcPr>
          <w:p>
            <w:pPr>
              <w:spacing w:line="240" w:lineRule="auto"/>
              <w:jc w:val="center"/>
              <w:rPr>
                <w:rFonts w:eastAsia="PMingLiU"/>
                <w:sz w:val="24"/>
                <w:szCs w:val="24"/>
              </w:rPr>
            </w:pPr>
            <w:r>
              <w:rPr>
                <w:rFonts w:eastAsia="PMingLiU"/>
                <w:sz w:val="24"/>
                <w:szCs w:val="24"/>
              </w:rPr>
              <w:t>6</w:t>
            </w:r>
          </w:p>
        </w:tc>
        <w:tc>
          <w:tcPr>
            <w:tcW w:w="2700" w:type="dxa"/>
          </w:tcPr>
          <w:p>
            <w:pPr>
              <w:spacing w:line="240" w:lineRule="auto"/>
              <w:jc w:val="center"/>
              <w:rPr>
                <w:rFonts w:eastAsia="PMingLiU"/>
                <w:sz w:val="24"/>
                <w:szCs w:val="24"/>
              </w:rPr>
            </w:pPr>
          </w:p>
        </w:tc>
      </w:tr>
      <w:tr>
        <w:tc>
          <w:tcPr>
            <w:tcW w:w="2700" w:type="dxa"/>
          </w:tcPr>
          <w:p>
            <w:pPr>
              <w:spacing w:line="240" w:lineRule="auto"/>
              <w:jc w:val="center"/>
              <w:rPr>
                <w:rFonts w:eastAsia="PMingLiU"/>
                <w:sz w:val="24"/>
                <w:szCs w:val="24"/>
              </w:rPr>
            </w:pPr>
            <w:r>
              <w:rPr>
                <w:rFonts w:eastAsia="PMingLiU"/>
                <w:sz w:val="24"/>
                <w:szCs w:val="24"/>
              </w:rPr>
              <w:t>7</w:t>
            </w:r>
          </w:p>
        </w:tc>
        <w:tc>
          <w:tcPr>
            <w:tcW w:w="2700" w:type="dxa"/>
          </w:tcPr>
          <w:p>
            <w:pPr>
              <w:spacing w:line="240" w:lineRule="auto"/>
              <w:jc w:val="center"/>
              <w:rPr>
                <w:rFonts w:eastAsia="PMingLiU"/>
                <w:sz w:val="24"/>
                <w:szCs w:val="24"/>
              </w:rPr>
            </w:pPr>
          </w:p>
        </w:tc>
      </w:tr>
      <w:tr>
        <w:tc>
          <w:tcPr>
            <w:tcW w:w="2700" w:type="dxa"/>
          </w:tcPr>
          <w:p>
            <w:pPr>
              <w:spacing w:line="240" w:lineRule="auto"/>
              <w:jc w:val="center"/>
              <w:rPr>
                <w:rFonts w:eastAsia="PMingLiU"/>
                <w:sz w:val="24"/>
                <w:szCs w:val="24"/>
              </w:rPr>
            </w:pPr>
            <w:r>
              <w:rPr>
                <w:rFonts w:eastAsia="PMingLiU"/>
                <w:sz w:val="24"/>
                <w:szCs w:val="24"/>
              </w:rPr>
              <w:t>8</w:t>
            </w:r>
          </w:p>
        </w:tc>
        <w:tc>
          <w:tcPr>
            <w:tcW w:w="2700" w:type="dxa"/>
          </w:tcPr>
          <w:p>
            <w:pPr>
              <w:spacing w:line="240" w:lineRule="auto"/>
              <w:jc w:val="center"/>
              <w:rPr>
                <w:rFonts w:eastAsia="PMingLiU"/>
                <w:sz w:val="24"/>
                <w:szCs w:val="24"/>
              </w:rPr>
            </w:pPr>
          </w:p>
        </w:tc>
      </w:tr>
      <w:tr>
        <w:tc>
          <w:tcPr>
            <w:tcW w:w="2700" w:type="dxa"/>
          </w:tcPr>
          <w:p>
            <w:pPr>
              <w:spacing w:line="240" w:lineRule="auto"/>
              <w:jc w:val="center"/>
              <w:rPr>
                <w:rFonts w:eastAsia="PMingLiU"/>
                <w:sz w:val="24"/>
                <w:szCs w:val="24"/>
              </w:rPr>
            </w:pPr>
            <w:r>
              <w:rPr>
                <w:rFonts w:eastAsia="PMingLiU"/>
                <w:sz w:val="24"/>
                <w:szCs w:val="24"/>
              </w:rPr>
              <w:t>9</w:t>
            </w:r>
          </w:p>
        </w:tc>
        <w:tc>
          <w:tcPr>
            <w:tcW w:w="2700" w:type="dxa"/>
          </w:tcPr>
          <w:p>
            <w:pPr>
              <w:spacing w:line="240" w:lineRule="auto"/>
              <w:jc w:val="center"/>
              <w:rPr>
                <w:rFonts w:eastAsia="PMingLiU"/>
                <w:sz w:val="24"/>
                <w:szCs w:val="24"/>
              </w:rPr>
            </w:pPr>
          </w:p>
        </w:tc>
      </w:tr>
      <w:tr>
        <w:tc>
          <w:tcPr>
            <w:tcW w:w="2700" w:type="dxa"/>
          </w:tcPr>
          <w:p>
            <w:pPr>
              <w:spacing w:line="240" w:lineRule="auto"/>
              <w:jc w:val="center"/>
              <w:rPr>
                <w:rFonts w:eastAsia="PMingLiU"/>
                <w:sz w:val="24"/>
                <w:szCs w:val="24"/>
              </w:rPr>
            </w:pPr>
            <w:r>
              <w:rPr>
                <w:rFonts w:eastAsia="PMingLiU"/>
                <w:sz w:val="24"/>
                <w:szCs w:val="24"/>
              </w:rPr>
              <w:t>10</w:t>
            </w:r>
          </w:p>
        </w:tc>
        <w:tc>
          <w:tcPr>
            <w:tcW w:w="2700" w:type="dxa"/>
          </w:tcPr>
          <w:p>
            <w:pPr>
              <w:spacing w:line="240" w:lineRule="auto"/>
              <w:jc w:val="center"/>
              <w:rPr>
                <w:rFonts w:eastAsia="PMingLiU"/>
                <w:sz w:val="24"/>
                <w:szCs w:val="24"/>
              </w:rPr>
            </w:pPr>
          </w:p>
        </w:tc>
      </w:tr>
      <w:tr>
        <w:tc>
          <w:tcPr>
            <w:tcW w:w="2700" w:type="dxa"/>
          </w:tcPr>
          <w:p>
            <w:pPr>
              <w:spacing w:line="240" w:lineRule="auto"/>
              <w:jc w:val="center"/>
              <w:rPr>
                <w:rFonts w:eastAsia="PMingLiU"/>
                <w:sz w:val="24"/>
                <w:szCs w:val="24"/>
              </w:rPr>
            </w:pPr>
            <w:r>
              <w:rPr>
                <w:rFonts w:eastAsia="PMingLiU"/>
                <w:sz w:val="24"/>
                <w:szCs w:val="24"/>
              </w:rPr>
              <w:t>[…]</w:t>
            </w:r>
          </w:p>
        </w:tc>
        <w:tc>
          <w:tcPr>
            <w:tcW w:w="2700" w:type="dxa"/>
          </w:tcPr>
          <w:p>
            <w:pPr>
              <w:spacing w:line="240" w:lineRule="auto"/>
              <w:jc w:val="center"/>
              <w:rPr>
                <w:rFonts w:eastAsia="PMingLiU"/>
                <w:sz w:val="24"/>
                <w:szCs w:val="24"/>
              </w:rPr>
            </w:pPr>
          </w:p>
        </w:tc>
      </w:tr>
    </w:tbl>
    <w:p>
      <w:pPr>
        <w:sectPr>
          <w:footerReference w:type="default" r:id="rId20"/>
          <w:pgSz w:w="12240" w:h="15840"/>
          <w:pgMar w:top="1440" w:right="1440" w:bottom="1440" w:left="1440" w:header="720" w:footer="720" w:gutter="0"/>
          <w:pgNumType w:start="1"/>
          <w:cols w:space="720"/>
          <w:docGrid w:linePitch="360"/>
        </w:sectPr>
      </w:pPr>
    </w:p>
    <w:p>
      <w:pPr>
        <w:pStyle w:val="APPENDIXoutlinedc1"/>
      </w:pPr>
      <w:r>
        <w:lastRenderedPageBreak/>
        <w:br/>
      </w:r>
      <w:bookmarkStart w:id="180" w:name="_docxtools_475"/>
      <w:r>
        <w:br/>
      </w:r>
      <w:bookmarkStart w:id="181" w:name="_Toc166243866"/>
      <w:r>
        <w:t>COMMERCIAL OPERATION CERTIFICATE</w:t>
      </w:r>
      <w:bookmarkEnd w:id="180"/>
      <w:bookmarkEnd w:id="181"/>
    </w:p>
    <w:p>
      <w:pPr>
        <w:spacing w:after="0"/>
        <w:ind w:firstLine="0"/>
      </w:pPr>
      <w:r>
        <w:t>Puget Sound Energy, BEL11E</w:t>
      </w:r>
    </w:p>
    <w:p>
      <w:pPr>
        <w:spacing w:after="0"/>
        <w:ind w:firstLine="0"/>
      </w:pPr>
      <w:r>
        <w:t xml:space="preserve">Attn: </w:t>
      </w:r>
      <w:r>
        <w:tab/>
      </w:r>
    </w:p>
    <w:p>
      <w:pPr>
        <w:spacing w:after="0"/>
        <w:ind w:firstLine="0"/>
      </w:pPr>
      <w:r>
        <w:t>P. O. Box 97034</w:t>
      </w:r>
    </w:p>
    <w:p>
      <w:pPr>
        <w:spacing w:after="0"/>
        <w:ind w:firstLine="0"/>
      </w:pPr>
      <w:r>
        <w:t>Bellevue WA 98009-9734</w:t>
      </w:r>
    </w:p>
    <w:p>
      <w:pPr>
        <w:ind w:firstLine="0"/>
      </w:pPr>
      <w:r>
        <w:t>Email:  [_______________________]</w:t>
      </w:r>
    </w:p>
    <w:p>
      <w:pPr>
        <w:spacing w:before="360" w:after="360"/>
        <w:ind w:left="720" w:hanging="720"/>
        <w:rPr>
          <w:b/>
          <w:sz w:val="24"/>
          <w:szCs w:val="24"/>
        </w:rPr>
      </w:pPr>
      <w:r>
        <w:rPr>
          <w:b/>
        </w:rPr>
        <w:t>Re:</w:t>
      </w:r>
      <w:r>
        <w:rPr>
          <w:b/>
        </w:rPr>
        <w:tab/>
        <w:t xml:space="preserve">Commercial Operation Certificate for Distributed Energy Resource Power Purchase </w:t>
      </w:r>
      <w:r>
        <w:rPr>
          <w:b/>
          <w:sz w:val="24"/>
          <w:szCs w:val="24"/>
        </w:rPr>
        <w:t>Agreement (“</w:t>
      </w:r>
      <w:r>
        <w:rPr>
          <w:b/>
          <w:sz w:val="24"/>
          <w:szCs w:val="24"/>
          <w:u w:val="single"/>
        </w:rPr>
        <w:t>PPA</w:t>
      </w:r>
      <w:r>
        <w:rPr>
          <w:b/>
          <w:sz w:val="24"/>
          <w:szCs w:val="24"/>
        </w:rPr>
        <w:t>”) between Puget Sound Energy, Inc. (“</w:t>
      </w:r>
      <w:r>
        <w:rPr>
          <w:b/>
          <w:sz w:val="24"/>
          <w:szCs w:val="24"/>
          <w:u w:val="single"/>
        </w:rPr>
        <w:t>PSE</w:t>
      </w:r>
      <w:r>
        <w:rPr>
          <w:b/>
          <w:sz w:val="24"/>
          <w:szCs w:val="24"/>
        </w:rPr>
        <w:t>”) and [_______________].</w:t>
      </w:r>
    </w:p>
    <w:p>
      <w:pPr>
        <w:spacing w:line="240" w:lineRule="auto"/>
        <w:rPr>
          <w:rFonts w:eastAsia="PMingLiU"/>
          <w:sz w:val="24"/>
          <w:szCs w:val="24"/>
        </w:rPr>
      </w:pPr>
      <w:r>
        <w:rPr>
          <w:rFonts w:eastAsia="PMingLiU"/>
          <w:sz w:val="24"/>
          <w:szCs w:val="24"/>
        </w:rPr>
        <w:t>The undersigned, [__________________] (“Seller”) and _______________, a licensed professional engineer in the State of Washington (“Licensed Professional Engineer”) make the following certifications to Puget Sound Energy, Inc. (“PSE”), dated as of _______________.  All capitalized terms not otherwise defined herein shall have the meaning given to them in the PPA.</w:t>
      </w:r>
    </w:p>
    <w:p>
      <w:pPr>
        <w:spacing w:line="240" w:lineRule="auto"/>
        <w:ind w:firstLine="0"/>
        <w:rPr>
          <w:rFonts w:eastAsia="PMingLiU"/>
          <w:b/>
          <w:sz w:val="24"/>
          <w:szCs w:val="24"/>
        </w:rPr>
      </w:pPr>
      <w:r>
        <w:rPr>
          <w:rFonts w:eastAsia="PMingLiU"/>
          <w:b/>
          <w:sz w:val="24"/>
          <w:szCs w:val="24"/>
        </w:rPr>
        <w:t>Seller hereby certifies that:</w:t>
      </w:r>
    </w:p>
    <w:p>
      <w:pPr>
        <w:pStyle w:val="Decimaloutlinedc1"/>
      </w:pPr>
      <w:r>
        <w:t>The final Facility Size is [___] is [__] kW AC, limited to [__] kW AC at the Point of Interconnection.</w:t>
      </w:r>
    </w:p>
    <w:p>
      <w:pPr>
        <w:pStyle w:val="Decimaloutlinedc1"/>
      </w:pPr>
      <w:r>
        <w:t xml:space="preserve">Except for punch list items that would not materially affect the performance, reliability, for safe operation of the Facility, the same has been furnished, erected, and installed by the respective contractors and suppliers, has been completed in accordance with the material applicable specifications under the respective supply agreements, and is ready for continuous generation </w:t>
      </w:r>
      <w:bookmarkStart w:id="182" w:name="OLE_LINK23"/>
      <w:r>
        <w:t xml:space="preserve">of Solar Output at the Facility and delivery of such Solar Output as Delivered Energy to the Point of Interconnection </w:t>
      </w:r>
      <w:bookmarkEnd w:id="182"/>
      <w:r>
        <w:t>in compliance with all Applicable Laws and governmental, regulatory, and utility approvals.</w:t>
      </w:r>
    </w:p>
    <w:p>
      <w:pPr>
        <w:pStyle w:val="Decimaloutlinedc1"/>
      </w:pPr>
      <w:r>
        <w:t>Except for punch list items that would not materially affect the performance, reliability, or safe operation of the Facility, as required under the PPA, all requirements necessary to achieve Commercial Operation thereof have been substantially completed.</w:t>
      </w:r>
    </w:p>
    <w:p>
      <w:pPr>
        <w:pStyle w:val="Decimaloutlinedc1"/>
      </w:pPr>
      <w:r>
        <w:t>Seller’s interconnection facilities have been completed in accordance with applicable specifications, tariffs, laws, and governmental, regulatory, and utility approvals to enable power generated by the Facility to be received at the Point of Interconnection.</w:t>
      </w:r>
    </w:p>
    <w:p>
      <w:pPr>
        <w:pStyle w:val="Decimaloutlinedc1"/>
        <w:rPr>
          <w:lang w:eastAsia="zh-CN"/>
        </w:rPr>
      </w:pPr>
      <w:r>
        <w:t xml:space="preserve">Seller has obtained all governmental, regulatory, and utility approvals necessary for the Facility to continuously generate Solar Output at the Facility and deliver such Solar Output as Delivered Energy to the Point of Interconnection and the same is in compliance with all such approvals and all other Applicable Law in all material respects.  </w:t>
      </w:r>
    </w:p>
    <w:p>
      <w:pPr>
        <w:pStyle w:val="Decimaloutlinedc1"/>
        <w:rPr>
          <w:lang w:eastAsia="zh-CN"/>
        </w:rPr>
      </w:pPr>
      <w:r>
        <w:rPr>
          <w:lang w:eastAsia="zh-CN"/>
        </w:rPr>
        <w:lastRenderedPageBreak/>
        <w:t>All necessary arrangements for the prudent and proper operation and maintenance of the Facility have been put in place and are in full force and effect.</w:t>
      </w:r>
    </w:p>
    <w:p>
      <w:pPr>
        <w:pStyle w:val="Decimaloutlinedc1"/>
        <w:rPr>
          <w:lang w:eastAsia="zh-CN"/>
        </w:rPr>
      </w:pPr>
      <w:r>
        <w:rPr>
          <w:lang w:eastAsia="zh-CN"/>
        </w:rPr>
        <w:t>Seller has a valid leasehold or real property interest in the Site for a term of at least [  ] years from the Commercial Operation Date.</w:t>
      </w:r>
    </w:p>
    <w:p>
      <w:pPr>
        <w:keepNext/>
        <w:autoSpaceDE w:val="0"/>
        <w:autoSpaceDN w:val="0"/>
        <w:adjustRightInd w:val="0"/>
        <w:snapToGrid w:val="0"/>
        <w:spacing w:line="240" w:lineRule="auto"/>
        <w:ind w:firstLine="0"/>
        <w:jc w:val="left"/>
        <w:rPr>
          <w:rFonts w:eastAsia="PMingLiU"/>
          <w:color w:val="000000"/>
          <w:sz w:val="24"/>
          <w:szCs w:val="24"/>
          <w:lang w:eastAsia="zh-CN"/>
        </w:rPr>
      </w:pPr>
      <w:r>
        <w:rPr>
          <w:rFonts w:eastAsia="PMingLiU"/>
          <w:color w:val="000000"/>
          <w:sz w:val="24"/>
          <w:szCs w:val="24"/>
          <w:lang w:eastAsia="zh-CN"/>
        </w:rPr>
        <w:t>Licensed Professional Engineer certifies that:</w:t>
      </w:r>
    </w:p>
    <w:p>
      <w:pPr>
        <w:pStyle w:val="Decimaloutlinedc1"/>
        <w:numPr>
          <w:ilvl w:val="0"/>
          <w:numId w:val="22"/>
        </w:numPr>
        <w:rPr>
          <w:lang w:eastAsia="zh-CN"/>
        </w:rPr>
      </w:pPr>
      <w:r>
        <w:rPr>
          <w:lang w:eastAsia="zh-CN"/>
        </w:rPr>
        <w:t xml:space="preserve">We have read the PPA, the supply agreements, the </w:t>
      </w:r>
      <w:r>
        <w:t>engineering, procurement and construction contract</w:t>
      </w:r>
      <w:r>
        <w:rPr>
          <w:lang w:eastAsia="zh-CN"/>
        </w:rPr>
        <w:t xml:space="preserve">, and we understand the requirements for Commercial Operation under the </w:t>
      </w:r>
      <w:r>
        <w:t>PPA</w:t>
      </w:r>
      <w:r>
        <w:rPr>
          <w:lang w:eastAsia="zh-CN"/>
        </w:rPr>
        <w:t xml:space="preserve">, the specifications and performance testing requirements under the supply agreements, and the requirements for commercial operation and/or substantial completion under the </w:t>
      </w:r>
      <w:r>
        <w:t>engineering, procurement and construction and contract</w:t>
      </w:r>
      <w:r>
        <w:rPr>
          <w:lang w:eastAsia="zh-CN"/>
        </w:rPr>
        <w:t>.</w:t>
      </w:r>
    </w:p>
    <w:p>
      <w:pPr>
        <w:pStyle w:val="Decimaloutlinedc1"/>
        <w:rPr>
          <w:lang w:eastAsia="zh-CN"/>
        </w:rPr>
      </w:pPr>
      <w:r>
        <w:rPr>
          <w:lang w:eastAsia="zh-CN"/>
        </w:rPr>
        <w:t>We have reviewed the material and data made available to us by the Seller and the contractors and suppliers for the Facility.</w:t>
      </w:r>
    </w:p>
    <w:p>
      <w:pPr>
        <w:pStyle w:val="Decimaloutlinedc1"/>
        <w:rPr>
          <w:lang w:eastAsia="zh-CN"/>
        </w:rPr>
      </w:pPr>
      <w:r>
        <w:rPr>
          <w:lang w:eastAsia="zh-CN"/>
        </w:rPr>
        <w:t xml:space="preserve">To the extent practical, we have reviewed the engineering, procurement, construction and performance testing for the Facility and, in the course of this review, we have not discovered any material errors or omissions in the work performed to date.  </w:t>
      </w:r>
    </w:p>
    <w:p>
      <w:pPr>
        <w:pStyle w:val="Decimaloutlinedc1"/>
        <w:rPr>
          <w:lang w:eastAsia="zh-CN"/>
        </w:rPr>
      </w:pPr>
      <w:r>
        <w:rPr>
          <w:lang w:eastAsia="zh-CN"/>
        </w:rPr>
        <w:t>We have reviewed the certifications of Seller above, and find the representations provided to be correct in all material respects.</w:t>
      </w:r>
    </w:p>
    <w:p>
      <w:pPr>
        <w:pStyle w:val="Decimaloutlinedc1"/>
        <w:rPr>
          <w:lang w:eastAsia="zh-CN"/>
        </w:rPr>
      </w:pPr>
      <w:r>
        <w:rPr>
          <w:lang w:eastAsia="zh-CN"/>
        </w:rPr>
        <w:t>We have reviewed all governmental, regulatory, and utility approvals identified by the Seller as being required for the construction and operation of the Facility and are of the opinion that the same is in compliance in all material respects with the environmental and technical requirements contained therein.</w:t>
      </w:r>
    </w:p>
    <w:p>
      <w:pPr>
        <w:pStyle w:val="Decimaloutlinedc1"/>
        <w:rPr>
          <w:lang w:eastAsia="zh-CN"/>
        </w:rPr>
      </w:pPr>
      <w:r>
        <w:rPr>
          <w:lang w:eastAsia="zh-CN"/>
        </w:rPr>
        <w:t>Based on our review of the aforementioned information and of information provided to us by others which we have not independently verified, we are of the opinion that, as of [________], Commercial Operation of the Facility has occurred as defined in the PPA.</w:t>
      </w:r>
    </w:p>
    <w:p>
      <w:pPr>
        <w:autoSpaceDE w:val="0"/>
        <w:autoSpaceDN w:val="0"/>
        <w:adjustRightInd w:val="0"/>
        <w:snapToGrid w:val="0"/>
        <w:spacing w:after="0"/>
        <w:ind w:firstLine="4320"/>
        <w:jc w:val="left"/>
        <w:rPr>
          <w:color w:val="000000"/>
          <w:lang w:eastAsia="zh-CN"/>
        </w:rPr>
      </w:pPr>
      <w:r>
        <w:rPr>
          <w:color w:val="000000"/>
          <w:lang w:eastAsia="zh-CN"/>
        </w:rPr>
        <w:t>Executed this [__] day of [____], 202[__]</w:t>
      </w:r>
    </w:p>
    <w:p>
      <w:pPr>
        <w:autoSpaceDE w:val="0"/>
        <w:autoSpaceDN w:val="0"/>
        <w:adjustRightInd w:val="0"/>
        <w:snapToGrid w:val="0"/>
        <w:spacing w:before="599" w:after="0"/>
        <w:ind w:firstLine="4320"/>
        <w:jc w:val="left"/>
        <w:rPr>
          <w:color w:val="000000"/>
          <w:lang w:eastAsia="zh-CN"/>
        </w:rPr>
      </w:pPr>
      <w:r>
        <w:rPr>
          <w:color w:val="000000"/>
          <w:lang w:eastAsia="zh-CN"/>
        </w:rPr>
        <w:t>SELLER</w:t>
      </w:r>
    </w:p>
    <w:p>
      <w:pPr>
        <w:autoSpaceDE w:val="0"/>
        <w:autoSpaceDN w:val="0"/>
        <w:adjustRightInd w:val="0"/>
        <w:snapToGrid w:val="0"/>
        <w:spacing w:before="66" w:after="0"/>
        <w:ind w:firstLine="4320"/>
        <w:jc w:val="left"/>
        <w:rPr>
          <w:color w:val="000000"/>
          <w:lang w:eastAsia="zh-CN"/>
        </w:rPr>
      </w:pPr>
      <w:r>
        <w:rPr>
          <w:color w:val="000000"/>
          <w:lang w:eastAsia="zh-CN"/>
        </w:rPr>
        <w:t>[_______________]</w:t>
      </w:r>
    </w:p>
    <w:p>
      <w:pPr>
        <w:autoSpaceDE w:val="0"/>
        <w:autoSpaceDN w:val="0"/>
        <w:adjustRightInd w:val="0"/>
        <w:snapToGrid w:val="0"/>
        <w:spacing w:before="66" w:after="0"/>
        <w:ind w:firstLine="4320"/>
        <w:jc w:val="left"/>
        <w:rPr>
          <w:color w:val="000000"/>
          <w:lang w:eastAsia="zh-CN"/>
        </w:rPr>
      </w:pPr>
      <w:r>
        <w:rPr>
          <w:color w:val="000000"/>
          <w:lang w:eastAsia="zh-CN"/>
        </w:rPr>
        <w:t>an [____] limited liability company</w:t>
      </w:r>
    </w:p>
    <w:p>
      <w:pPr>
        <w:autoSpaceDE w:val="0"/>
        <w:autoSpaceDN w:val="0"/>
        <w:adjustRightInd w:val="0"/>
        <w:snapToGrid w:val="0"/>
        <w:spacing w:after="0"/>
        <w:ind w:firstLine="4320"/>
        <w:jc w:val="left"/>
        <w:rPr>
          <w:color w:val="000000"/>
          <w:lang w:eastAsia="zh-CN"/>
        </w:rPr>
      </w:pPr>
      <w:r>
        <w:rPr>
          <w:color w:val="000000"/>
          <w:lang w:eastAsia="zh-CN"/>
        </w:rPr>
        <w:t>By:</w:t>
      </w:r>
    </w:p>
    <w:p>
      <w:pPr>
        <w:autoSpaceDE w:val="0"/>
        <w:autoSpaceDN w:val="0"/>
        <w:adjustRightInd w:val="0"/>
        <w:snapToGrid w:val="0"/>
        <w:spacing w:before="66" w:after="0"/>
        <w:ind w:firstLine="4320"/>
        <w:jc w:val="left"/>
        <w:rPr>
          <w:color w:val="000000"/>
          <w:lang w:eastAsia="zh-CN"/>
        </w:rPr>
      </w:pPr>
      <w:r>
        <w:rPr>
          <w:color w:val="000000"/>
          <w:lang w:eastAsia="zh-CN"/>
        </w:rPr>
        <w:t>Name:</w:t>
      </w:r>
    </w:p>
    <w:p>
      <w:pPr>
        <w:autoSpaceDE w:val="0"/>
        <w:autoSpaceDN w:val="0"/>
        <w:adjustRightInd w:val="0"/>
        <w:snapToGrid w:val="0"/>
        <w:spacing w:before="66" w:after="0"/>
        <w:ind w:firstLine="4320"/>
        <w:jc w:val="left"/>
        <w:rPr>
          <w:color w:val="000000"/>
          <w:lang w:eastAsia="zh-CN"/>
        </w:rPr>
      </w:pPr>
      <w:r>
        <w:rPr>
          <w:color w:val="000000"/>
          <w:lang w:eastAsia="zh-CN"/>
        </w:rPr>
        <w:t>Title:</w:t>
      </w:r>
    </w:p>
    <w:p>
      <w:pPr>
        <w:autoSpaceDE w:val="0"/>
        <w:autoSpaceDN w:val="0"/>
        <w:adjustRightInd w:val="0"/>
        <w:snapToGrid w:val="0"/>
        <w:spacing w:before="335" w:after="0"/>
        <w:jc w:val="left"/>
        <w:rPr>
          <w:color w:val="000000"/>
          <w:lang w:eastAsia="zh-CN"/>
        </w:rPr>
      </w:pPr>
    </w:p>
    <w:p>
      <w:pPr>
        <w:autoSpaceDE w:val="0"/>
        <w:autoSpaceDN w:val="0"/>
        <w:adjustRightInd w:val="0"/>
        <w:snapToGrid w:val="0"/>
        <w:spacing w:before="335" w:after="0"/>
        <w:ind w:left="4320" w:firstLine="0"/>
        <w:jc w:val="left"/>
        <w:rPr>
          <w:color w:val="000000"/>
          <w:lang w:eastAsia="zh-CN"/>
        </w:rPr>
      </w:pPr>
      <w:r>
        <w:rPr>
          <w:color w:val="000000"/>
          <w:lang w:eastAsia="zh-CN"/>
        </w:rPr>
        <w:lastRenderedPageBreak/>
        <w:t>LICENSED PROFESSIONAL ENGINEER</w:t>
      </w:r>
    </w:p>
    <w:p>
      <w:pPr>
        <w:autoSpaceDE w:val="0"/>
        <w:autoSpaceDN w:val="0"/>
        <w:adjustRightInd w:val="0"/>
        <w:snapToGrid w:val="0"/>
        <w:spacing w:before="71" w:after="0"/>
        <w:ind w:firstLine="4320"/>
        <w:jc w:val="left"/>
        <w:rPr>
          <w:color w:val="000000"/>
          <w:lang w:eastAsia="zh-CN"/>
        </w:rPr>
      </w:pPr>
      <w:r>
        <w:rPr>
          <w:color w:val="000000"/>
          <w:lang w:eastAsia="zh-CN"/>
        </w:rPr>
        <w:t>[</w:t>
      </w:r>
      <w:r>
        <w:rPr>
          <w:b/>
          <w:i/>
          <w:color w:val="000000"/>
          <w:lang w:eastAsia="zh-CN"/>
        </w:rPr>
        <w:t>Name of Licensed Professional Engineer</w:t>
      </w:r>
      <w:r>
        <w:rPr>
          <w:color w:val="000000"/>
          <w:lang w:eastAsia="zh-CN"/>
        </w:rPr>
        <w:t>]</w:t>
      </w:r>
    </w:p>
    <w:p>
      <w:pPr>
        <w:autoSpaceDE w:val="0"/>
        <w:autoSpaceDN w:val="0"/>
        <w:adjustRightInd w:val="0"/>
        <w:snapToGrid w:val="0"/>
        <w:spacing w:before="66" w:after="0"/>
        <w:ind w:firstLine="4320"/>
        <w:jc w:val="left"/>
        <w:rPr>
          <w:color w:val="000000"/>
          <w:lang w:eastAsia="zh-CN"/>
        </w:rPr>
      </w:pPr>
      <w:r>
        <w:rPr>
          <w:color w:val="000000"/>
          <w:lang w:eastAsia="zh-CN"/>
        </w:rPr>
        <w:t>a _________________</w:t>
      </w:r>
    </w:p>
    <w:p>
      <w:pPr>
        <w:autoSpaceDE w:val="0"/>
        <w:autoSpaceDN w:val="0"/>
        <w:adjustRightInd w:val="0"/>
        <w:snapToGrid w:val="0"/>
        <w:spacing w:before="330" w:after="0"/>
        <w:ind w:firstLine="4320"/>
        <w:jc w:val="left"/>
        <w:rPr>
          <w:color w:val="000000"/>
          <w:lang w:eastAsia="zh-CN"/>
        </w:rPr>
      </w:pPr>
      <w:r>
        <w:rPr>
          <w:color w:val="000000"/>
          <w:lang w:eastAsia="zh-CN"/>
        </w:rPr>
        <w:t>By:  ________________________</w:t>
      </w:r>
    </w:p>
    <w:p>
      <w:pPr>
        <w:autoSpaceDE w:val="0"/>
        <w:autoSpaceDN w:val="0"/>
        <w:adjustRightInd w:val="0"/>
        <w:snapToGrid w:val="0"/>
        <w:spacing w:before="71" w:after="0"/>
        <w:ind w:firstLine="4320"/>
        <w:jc w:val="left"/>
        <w:rPr>
          <w:color w:val="000000"/>
          <w:lang w:eastAsia="zh-CN"/>
        </w:rPr>
      </w:pPr>
      <w:r>
        <w:rPr>
          <w:color w:val="000000"/>
          <w:lang w:eastAsia="zh-CN"/>
        </w:rPr>
        <w:t>Name:</w:t>
      </w:r>
    </w:p>
    <w:p>
      <w:pPr>
        <w:autoSpaceDE w:val="0"/>
        <w:autoSpaceDN w:val="0"/>
        <w:adjustRightInd w:val="0"/>
        <w:snapToGrid w:val="0"/>
        <w:spacing w:before="66" w:after="0"/>
        <w:ind w:firstLine="4320"/>
        <w:jc w:val="left"/>
        <w:rPr>
          <w:color w:val="000000"/>
          <w:lang w:eastAsia="zh-CN"/>
        </w:rPr>
      </w:pPr>
      <w:r>
        <w:rPr>
          <w:color w:val="000000"/>
          <w:lang w:eastAsia="zh-CN"/>
        </w:rPr>
        <w:t>Title:</w:t>
      </w:r>
    </w:p>
    <w:p>
      <w:pPr>
        <w:autoSpaceDE w:val="0"/>
        <w:autoSpaceDN w:val="0"/>
        <w:adjustRightInd w:val="0"/>
        <w:snapToGrid w:val="0"/>
        <w:spacing w:before="330" w:after="0"/>
        <w:ind w:firstLine="4320"/>
        <w:jc w:val="left"/>
        <w:rPr>
          <w:color w:val="000000"/>
          <w:lang w:eastAsia="zh-CN"/>
        </w:rPr>
      </w:pPr>
      <w:r>
        <w:rPr>
          <w:color w:val="000000"/>
          <w:lang w:eastAsia="zh-CN"/>
        </w:rPr>
        <w:t>ACCEPTED BY PUGET SOUND ENERGY, INC.</w:t>
      </w:r>
    </w:p>
    <w:p>
      <w:pPr>
        <w:autoSpaceDE w:val="0"/>
        <w:autoSpaceDN w:val="0"/>
        <w:adjustRightInd w:val="0"/>
        <w:snapToGrid w:val="0"/>
        <w:spacing w:before="335" w:after="0"/>
        <w:ind w:firstLine="4320"/>
        <w:jc w:val="left"/>
        <w:rPr>
          <w:color w:val="000000"/>
          <w:lang w:eastAsia="zh-CN"/>
        </w:rPr>
      </w:pPr>
      <w:r>
        <w:rPr>
          <w:color w:val="000000"/>
          <w:lang w:eastAsia="zh-CN"/>
        </w:rPr>
        <w:t>By:</w:t>
      </w:r>
    </w:p>
    <w:p>
      <w:pPr>
        <w:autoSpaceDE w:val="0"/>
        <w:autoSpaceDN w:val="0"/>
        <w:adjustRightInd w:val="0"/>
        <w:snapToGrid w:val="0"/>
        <w:spacing w:before="66" w:after="0"/>
        <w:ind w:firstLine="4320"/>
        <w:jc w:val="left"/>
        <w:rPr>
          <w:color w:val="000000"/>
          <w:lang w:eastAsia="zh-CN"/>
        </w:rPr>
      </w:pPr>
      <w:r>
        <w:rPr>
          <w:color w:val="000000"/>
          <w:lang w:eastAsia="zh-CN"/>
        </w:rPr>
        <w:t>Name:</w:t>
      </w:r>
    </w:p>
    <w:p>
      <w:pPr>
        <w:autoSpaceDE w:val="0"/>
        <w:autoSpaceDN w:val="0"/>
        <w:adjustRightInd w:val="0"/>
        <w:snapToGrid w:val="0"/>
        <w:spacing w:before="71" w:after="0"/>
        <w:ind w:firstLine="4320"/>
        <w:jc w:val="left"/>
        <w:rPr>
          <w:color w:val="000000"/>
          <w:lang w:eastAsia="zh-CN"/>
        </w:rPr>
      </w:pPr>
      <w:r>
        <w:rPr>
          <w:color w:val="000000"/>
          <w:lang w:eastAsia="zh-CN"/>
        </w:rPr>
        <w:t>Title:</w:t>
      </w:r>
    </w:p>
    <w:p>
      <w:pPr>
        <w:autoSpaceDE w:val="0"/>
        <w:autoSpaceDN w:val="0"/>
        <w:adjustRightInd w:val="0"/>
        <w:snapToGrid w:val="0"/>
        <w:spacing w:before="66" w:after="0"/>
        <w:ind w:firstLine="4320"/>
        <w:jc w:val="left"/>
        <w:rPr>
          <w:color w:val="000000"/>
          <w:lang w:eastAsia="zh-CN"/>
        </w:rPr>
      </w:pPr>
      <w:r>
        <w:rPr>
          <w:color w:val="000000"/>
          <w:lang w:eastAsia="zh-CN"/>
        </w:rPr>
        <w:t>Date</w:t>
      </w:r>
    </w:p>
    <w:p>
      <w:pPr>
        <w:sectPr>
          <w:footerReference w:type="default" r:id="rId21"/>
          <w:pgSz w:w="12240" w:h="15840"/>
          <w:pgMar w:top="1440" w:right="1440" w:bottom="1440" w:left="1440" w:header="720" w:footer="720" w:gutter="0"/>
          <w:pgNumType w:start="1"/>
          <w:cols w:space="720"/>
          <w:docGrid w:linePitch="360"/>
        </w:sectPr>
      </w:pPr>
    </w:p>
    <w:p>
      <w:pPr>
        <w:pStyle w:val="APPENDIXoutlinedc1"/>
      </w:pPr>
      <w:r>
        <w:lastRenderedPageBreak/>
        <w:br/>
      </w:r>
      <w:bookmarkStart w:id="183" w:name="_docxtools_518"/>
      <w:r>
        <w:br/>
      </w:r>
      <w:bookmarkStart w:id="184" w:name="_Toc166243867"/>
      <w:r>
        <w:t>ATTRIBUTES ATTESTATION FORM</w:t>
      </w:r>
      <w:bookmarkEnd w:id="183"/>
      <w:bookmarkEnd w:id="184"/>
    </w:p>
    <w:p>
      <w:pPr>
        <w:pStyle w:val="APPENDIXoutlinedc3"/>
      </w:pPr>
      <w:r>
        <w:t>Reference is made to that certain Distributed Energy Resource Power Purchase Agreement (</w:t>
      </w:r>
      <w:proofErr w:type="gramStart"/>
      <w:r>
        <w:t>the ”</w:t>
      </w:r>
      <w:proofErr w:type="gramEnd"/>
      <w:r>
        <w:rPr>
          <w:u w:val="single"/>
        </w:rPr>
        <w:t>PPA</w:t>
      </w:r>
      <w:r>
        <w:t>”) by and between [●], a [●] (“</w:t>
      </w:r>
      <w:r>
        <w:rPr>
          <w:u w:val="single"/>
        </w:rPr>
        <w:t>Seller</w:t>
      </w:r>
      <w:r>
        <w:t>”), and Puget Sound Energy, Inc., a Washington corporation (“</w:t>
      </w:r>
      <w:r>
        <w:rPr>
          <w:u w:val="single"/>
        </w:rPr>
        <w:t>PSE</w:t>
      </w:r>
      <w:r>
        <w:t>”), dated [__________, ___].  Unless otherwise defined herein, all defined terms shall have the meanings assigned to them in the PPA.</w:t>
      </w:r>
    </w:p>
    <w:p>
      <w:pPr>
        <w:pStyle w:val="APPENDIXoutlinedc3"/>
      </w:pPr>
      <w:r>
        <w:t>I, [Name], [Title], as the authorized representative of Seller hereby declare under penalty of perjury, that:</w:t>
      </w:r>
    </w:p>
    <w:p>
      <w:pPr>
        <w:pStyle w:val="APPENDIXoutlinedc4"/>
        <w:ind w:left="1440" w:hanging="720"/>
      </w:pPr>
      <w:r>
        <w:t xml:space="preserve">Seller has sold, transferred and delivered to PSE the Attributes scheduled on the table below that are:  (i) associated with the Delivered Energy produced by that certain solar generation facility with the aggregate nameplate capacity of approximately [●] kW located at [_______] in [●] County (the ”Facility”) and/or (ii) are otherwise associated with the Facility; and </w:t>
      </w:r>
    </w:p>
    <w:p>
      <w:pPr>
        <w:pStyle w:val="APPENDIXoutlinedc4"/>
        <w:ind w:left="1440" w:hanging="720"/>
      </w:pPr>
      <w:r>
        <w:t>The Attributes scheduled on the table below:</w:t>
      </w:r>
    </w:p>
    <w:p>
      <w:pPr>
        <w:pStyle w:val="APPENDIXoutlinedc5"/>
      </w:pPr>
      <w:r>
        <w:t>were generated by and/or associated with the Facility;</w:t>
      </w:r>
    </w:p>
    <w:p>
      <w:pPr>
        <w:pStyle w:val="APPENDIXoutlinedc5"/>
      </w:pPr>
      <w:r>
        <w:t>are solely and exclusively owned by PSE;</w:t>
      </w:r>
    </w:p>
    <w:p>
      <w:pPr>
        <w:pStyle w:val="APPENDIXoutlinedc5"/>
      </w:pPr>
      <w:r>
        <w:t>were sold only once by Seller exclusively to PSE;</w:t>
      </w:r>
    </w:p>
    <w:p>
      <w:pPr>
        <w:pStyle w:val="APPENDIXoutlinedc5"/>
      </w:pPr>
      <w:r>
        <w:t>have not been used by Seller or any third party, including to meet any other program requirements in this state, another state or jurisdiction including any federal, state, or local renewable energy requirement, renewable energy procurement, renewable portfolio standard, or renewable energy mandate;</w:t>
      </w:r>
    </w:p>
    <w:p>
      <w:pPr>
        <w:pStyle w:val="APPENDIXoutlinedc5"/>
      </w:pPr>
      <w:r>
        <w:t>were not sold separately to any end-use Seller or other wholesale provider other than PSE; and</w:t>
      </w:r>
    </w:p>
    <w:p>
      <w:pPr>
        <w:pStyle w:val="APPENDIXoutlinedc5"/>
      </w:pPr>
      <w:r>
        <w:t>were not used on-site to power any electrical generation equipment or for other on-site uses.</w:t>
      </w:r>
    </w:p>
    <w:tbl>
      <w:tblPr>
        <w:tblW w:w="11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
        <w:gridCol w:w="1194"/>
        <w:gridCol w:w="1014"/>
        <w:gridCol w:w="986"/>
        <w:gridCol w:w="1194"/>
        <w:gridCol w:w="2422"/>
        <w:gridCol w:w="1620"/>
        <w:gridCol w:w="1765"/>
      </w:tblGrid>
      <w:tr>
        <w:trPr>
          <w:cantSplit/>
          <w:tblHeader/>
          <w:jc w:val="center"/>
        </w:trPr>
        <w:tc>
          <w:tcPr>
            <w:tcW w:w="1195" w:type="dxa"/>
            <w:shd w:val="clear" w:color="auto" w:fill="808080"/>
            <w:vAlign w:val="bottom"/>
          </w:tcPr>
          <w:p>
            <w:pPr>
              <w:keepNext/>
              <w:keepLines/>
              <w:spacing w:before="60" w:after="60"/>
              <w:ind w:firstLine="0"/>
              <w:jc w:val="center"/>
              <w:rPr>
                <w:b/>
              </w:rPr>
            </w:pPr>
            <w:r>
              <w:rPr>
                <w:b/>
              </w:rPr>
              <w:t>Generator</w:t>
            </w:r>
            <w:r>
              <w:rPr>
                <w:b/>
              </w:rPr>
              <w:br/>
              <w:t>Name</w:t>
            </w:r>
          </w:p>
        </w:tc>
        <w:tc>
          <w:tcPr>
            <w:tcW w:w="1194" w:type="dxa"/>
            <w:shd w:val="clear" w:color="auto" w:fill="808080"/>
            <w:vAlign w:val="bottom"/>
          </w:tcPr>
          <w:p>
            <w:pPr>
              <w:keepNext/>
              <w:keepLines/>
              <w:spacing w:before="60" w:after="60"/>
              <w:ind w:firstLine="0"/>
              <w:jc w:val="center"/>
              <w:rPr>
                <w:b/>
              </w:rPr>
            </w:pPr>
            <w:r>
              <w:rPr>
                <w:b/>
              </w:rPr>
              <w:t>Generator ID Number</w:t>
            </w:r>
          </w:p>
        </w:tc>
        <w:tc>
          <w:tcPr>
            <w:tcW w:w="1014" w:type="dxa"/>
            <w:shd w:val="clear" w:color="auto" w:fill="808080"/>
            <w:vAlign w:val="bottom"/>
          </w:tcPr>
          <w:p>
            <w:pPr>
              <w:keepNext/>
              <w:keepLines/>
              <w:spacing w:before="60" w:after="60"/>
              <w:ind w:firstLine="0"/>
              <w:jc w:val="center"/>
              <w:rPr>
                <w:b/>
              </w:rPr>
            </w:pPr>
            <w:r>
              <w:rPr>
                <w:b/>
              </w:rPr>
              <w:t>Fuel Type</w:t>
            </w:r>
          </w:p>
        </w:tc>
        <w:tc>
          <w:tcPr>
            <w:tcW w:w="986" w:type="dxa"/>
            <w:shd w:val="clear" w:color="auto" w:fill="808080"/>
            <w:vAlign w:val="bottom"/>
          </w:tcPr>
          <w:p>
            <w:pPr>
              <w:keepNext/>
              <w:keepLines/>
              <w:spacing w:before="60" w:after="60"/>
              <w:ind w:firstLine="0"/>
              <w:jc w:val="center"/>
              <w:rPr>
                <w:b/>
              </w:rPr>
            </w:pPr>
            <w:r>
              <w:rPr>
                <w:b/>
              </w:rPr>
              <w:t>#KWhs RECs/</w:t>
            </w:r>
            <w:r>
              <w:rPr>
                <w:b/>
              </w:rPr>
              <w:br/>
              <w:t>Power Sold</w:t>
            </w:r>
          </w:p>
        </w:tc>
        <w:tc>
          <w:tcPr>
            <w:tcW w:w="1194" w:type="dxa"/>
            <w:shd w:val="clear" w:color="auto" w:fill="808080"/>
            <w:vAlign w:val="bottom"/>
          </w:tcPr>
          <w:p>
            <w:pPr>
              <w:keepNext/>
              <w:keepLines/>
              <w:spacing w:before="60" w:after="60"/>
              <w:ind w:firstLine="0"/>
              <w:jc w:val="center"/>
              <w:rPr>
                <w:b/>
                <w:vertAlign w:val="subscript"/>
              </w:rPr>
            </w:pPr>
            <w:r>
              <w:rPr>
                <w:b/>
              </w:rPr>
              <w:t>1</w:t>
            </w:r>
            <w:r>
              <w:rPr>
                <w:b/>
                <w:vertAlign w:val="superscript"/>
              </w:rPr>
              <w:t>st</w:t>
            </w:r>
            <w:r>
              <w:rPr>
                <w:b/>
              </w:rPr>
              <w:t xml:space="preserve"> Date of Generator Operation</w:t>
            </w:r>
            <w:r>
              <w:rPr>
                <w:b/>
              </w:rPr>
              <w:br/>
              <w:t>(mm/yy)</w:t>
            </w:r>
          </w:p>
        </w:tc>
        <w:tc>
          <w:tcPr>
            <w:tcW w:w="2422" w:type="dxa"/>
            <w:shd w:val="clear" w:color="auto" w:fill="808080"/>
            <w:vAlign w:val="bottom"/>
          </w:tcPr>
          <w:p>
            <w:pPr>
              <w:keepNext/>
              <w:keepLines/>
              <w:spacing w:before="60" w:after="60"/>
              <w:ind w:firstLine="0"/>
              <w:jc w:val="center"/>
              <w:rPr>
                <w:b/>
              </w:rPr>
            </w:pPr>
            <w:r>
              <w:rPr>
                <w:b/>
              </w:rPr>
              <w:t>Attribute Type and Description</w:t>
            </w:r>
          </w:p>
        </w:tc>
        <w:tc>
          <w:tcPr>
            <w:tcW w:w="1620" w:type="dxa"/>
            <w:shd w:val="clear" w:color="auto" w:fill="808080"/>
          </w:tcPr>
          <w:p>
            <w:pPr>
              <w:keepNext/>
              <w:keepLines/>
              <w:spacing w:before="60" w:after="60"/>
              <w:ind w:firstLine="0"/>
              <w:jc w:val="center"/>
              <w:rPr>
                <w:b/>
              </w:rPr>
            </w:pPr>
          </w:p>
          <w:p>
            <w:pPr>
              <w:keepNext/>
              <w:keepLines/>
              <w:spacing w:before="60" w:after="60"/>
              <w:ind w:firstLine="0"/>
              <w:jc w:val="center"/>
              <w:rPr>
                <w:b/>
              </w:rPr>
            </w:pPr>
          </w:p>
          <w:p>
            <w:pPr>
              <w:keepNext/>
              <w:keepLines/>
              <w:spacing w:before="60" w:after="60"/>
              <w:ind w:firstLine="0"/>
              <w:jc w:val="center"/>
              <w:rPr>
                <w:b/>
              </w:rPr>
            </w:pPr>
            <w:r>
              <w:rPr>
                <w:b/>
              </w:rPr>
              <w:t>Attribute Quantity</w:t>
            </w:r>
          </w:p>
        </w:tc>
        <w:tc>
          <w:tcPr>
            <w:tcW w:w="1765" w:type="dxa"/>
            <w:shd w:val="clear" w:color="auto" w:fill="808080"/>
            <w:vAlign w:val="bottom"/>
          </w:tcPr>
          <w:p>
            <w:pPr>
              <w:keepNext/>
              <w:keepLines/>
              <w:spacing w:before="60" w:after="60"/>
              <w:ind w:firstLine="0"/>
              <w:jc w:val="center"/>
              <w:rPr>
                <w:b/>
              </w:rPr>
            </w:pPr>
            <w:r>
              <w:rPr>
                <w:b/>
              </w:rPr>
              <w:t>Period of Generation</w:t>
            </w:r>
            <w:r>
              <w:rPr>
                <w:b/>
              </w:rPr>
              <w:br/>
              <w:t>(Q#/year)</w:t>
            </w:r>
          </w:p>
        </w:tc>
      </w:tr>
      <w:tr>
        <w:trPr>
          <w:cantSplit/>
          <w:jc w:val="center"/>
        </w:trPr>
        <w:tc>
          <w:tcPr>
            <w:tcW w:w="1195" w:type="dxa"/>
          </w:tcPr>
          <w:p>
            <w:pPr>
              <w:keepNext/>
              <w:keepLines/>
              <w:spacing w:before="60" w:after="60"/>
              <w:ind w:firstLine="0"/>
              <w:jc w:val="center"/>
            </w:pPr>
          </w:p>
        </w:tc>
        <w:tc>
          <w:tcPr>
            <w:tcW w:w="1194" w:type="dxa"/>
          </w:tcPr>
          <w:p>
            <w:pPr>
              <w:keepNext/>
              <w:keepLines/>
              <w:spacing w:before="60" w:after="60"/>
              <w:ind w:firstLine="0"/>
              <w:jc w:val="center"/>
            </w:pPr>
          </w:p>
        </w:tc>
        <w:tc>
          <w:tcPr>
            <w:tcW w:w="1014" w:type="dxa"/>
          </w:tcPr>
          <w:p>
            <w:pPr>
              <w:keepNext/>
              <w:keepLines/>
              <w:spacing w:before="60" w:after="60"/>
              <w:ind w:firstLine="0"/>
              <w:jc w:val="center"/>
            </w:pPr>
          </w:p>
        </w:tc>
        <w:tc>
          <w:tcPr>
            <w:tcW w:w="986" w:type="dxa"/>
          </w:tcPr>
          <w:p>
            <w:pPr>
              <w:keepNext/>
              <w:keepLines/>
              <w:spacing w:before="60" w:after="60"/>
              <w:ind w:firstLine="0"/>
              <w:jc w:val="center"/>
            </w:pPr>
          </w:p>
        </w:tc>
        <w:tc>
          <w:tcPr>
            <w:tcW w:w="1194" w:type="dxa"/>
          </w:tcPr>
          <w:p>
            <w:pPr>
              <w:keepNext/>
              <w:keepLines/>
              <w:spacing w:before="60" w:after="60"/>
              <w:ind w:firstLine="0"/>
              <w:jc w:val="center"/>
            </w:pPr>
          </w:p>
        </w:tc>
        <w:tc>
          <w:tcPr>
            <w:tcW w:w="2422" w:type="dxa"/>
          </w:tcPr>
          <w:p>
            <w:pPr>
              <w:keepNext/>
              <w:keepLines/>
              <w:spacing w:before="60" w:after="60"/>
              <w:ind w:firstLine="0"/>
              <w:jc w:val="center"/>
            </w:pPr>
          </w:p>
        </w:tc>
        <w:tc>
          <w:tcPr>
            <w:tcW w:w="1620" w:type="dxa"/>
          </w:tcPr>
          <w:p>
            <w:pPr>
              <w:keepNext/>
              <w:keepLines/>
              <w:spacing w:before="60" w:after="60"/>
              <w:jc w:val="center"/>
            </w:pPr>
          </w:p>
        </w:tc>
        <w:tc>
          <w:tcPr>
            <w:tcW w:w="1765" w:type="dxa"/>
          </w:tcPr>
          <w:p>
            <w:pPr>
              <w:keepNext/>
              <w:keepLines/>
              <w:spacing w:before="60" w:after="60"/>
              <w:jc w:val="center"/>
            </w:pPr>
          </w:p>
        </w:tc>
      </w:tr>
      <w:tr>
        <w:trPr>
          <w:cantSplit/>
          <w:jc w:val="center"/>
        </w:trPr>
        <w:tc>
          <w:tcPr>
            <w:tcW w:w="1195" w:type="dxa"/>
          </w:tcPr>
          <w:p>
            <w:pPr>
              <w:spacing w:before="60" w:after="60"/>
              <w:ind w:firstLine="0"/>
              <w:jc w:val="center"/>
            </w:pPr>
          </w:p>
        </w:tc>
        <w:tc>
          <w:tcPr>
            <w:tcW w:w="1194" w:type="dxa"/>
          </w:tcPr>
          <w:p>
            <w:pPr>
              <w:spacing w:before="60" w:after="60"/>
              <w:ind w:firstLine="0"/>
              <w:jc w:val="center"/>
            </w:pPr>
          </w:p>
        </w:tc>
        <w:tc>
          <w:tcPr>
            <w:tcW w:w="1014" w:type="dxa"/>
          </w:tcPr>
          <w:p>
            <w:pPr>
              <w:spacing w:before="60" w:after="60"/>
              <w:ind w:firstLine="0"/>
              <w:jc w:val="center"/>
            </w:pPr>
          </w:p>
        </w:tc>
        <w:tc>
          <w:tcPr>
            <w:tcW w:w="986" w:type="dxa"/>
          </w:tcPr>
          <w:p>
            <w:pPr>
              <w:spacing w:before="60" w:after="60"/>
              <w:ind w:firstLine="0"/>
              <w:jc w:val="center"/>
            </w:pPr>
          </w:p>
        </w:tc>
        <w:tc>
          <w:tcPr>
            <w:tcW w:w="1194" w:type="dxa"/>
          </w:tcPr>
          <w:p>
            <w:pPr>
              <w:spacing w:before="60" w:after="60"/>
              <w:ind w:firstLine="0"/>
              <w:jc w:val="center"/>
            </w:pPr>
          </w:p>
        </w:tc>
        <w:tc>
          <w:tcPr>
            <w:tcW w:w="2422" w:type="dxa"/>
          </w:tcPr>
          <w:p>
            <w:pPr>
              <w:spacing w:before="60" w:after="60"/>
              <w:ind w:firstLine="0"/>
              <w:jc w:val="center"/>
            </w:pPr>
          </w:p>
        </w:tc>
        <w:tc>
          <w:tcPr>
            <w:tcW w:w="1620" w:type="dxa"/>
          </w:tcPr>
          <w:p>
            <w:pPr>
              <w:spacing w:before="60" w:after="60"/>
              <w:ind w:firstLine="0"/>
              <w:jc w:val="center"/>
            </w:pPr>
          </w:p>
        </w:tc>
        <w:tc>
          <w:tcPr>
            <w:tcW w:w="1765" w:type="dxa"/>
          </w:tcPr>
          <w:p>
            <w:pPr>
              <w:spacing w:before="60" w:after="60"/>
              <w:ind w:firstLine="0"/>
              <w:jc w:val="center"/>
            </w:pPr>
          </w:p>
        </w:tc>
      </w:tr>
    </w:tbl>
    <w:p>
      <w:pPr>
        <w:pStyle w:val="APPENDIXoutlinedc3"/>
      </w:pPr>
      <w:r>
        <w:lastRenderedPageBreak/>
        <w:t xml:space="preserve">This attestation may be disclosed by Seller and PSE to others, including any certification authority and the </w:t>
      </w:r>
      <w:bookmarkStart w:id="185" w:name="OLE_LINK4"/>
      <w:bookmarkStart w:id="186" w:name="OLE_LINK5"/>
      <w:r>
        <w:t xml:space="preserve">Washington Utilities and Transportation Commission </w:t>
      </w:r>
      <w:bookmarkEnd w:id="185"/>
      <w:r>
        <w:t>and the Federal Energy Regulatory Commission</w:t>
      </w:r>
      <w:bookmarkEnd w:id="186"/>
      <w:r>
        <w:t>, to substantiate and verify the accuracy of the Parties’ compliance, advertising and public claims.</w:t>
      </w:r>
    </w:p>
    <w:p>
      <w:pPr>
        <w:pStyle w:val="APPENDIXoutlinedc3"/>
      </w:pPr>
      <w:r>
        <w:t>As an authorized representative of Seller, I state that the above statements are true and correct to the best of my knowledge.  This attestation may serve as a bill of sale to confirm, in accordance with the PPA, the transfer from Seller to PSE all of Seller’s right, title and interest in and to the Attributes as set forth above.</w:t>
      </w:r>
    </w:p>
    <w:p>
      <w:r>
        <w:t>As an authorized agent of [●], I attest that the above statements are true and correct.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tc>
          <w:tcPr>
            <w:tcW w:w="4675" w:type="dxa"/>
          </w:tcPr>
          <w:p>
            <w:pPr>
              <w:keepNext/>
              <w:keepLines/>
              <w:spacing w:after="360"/>
              <w:ind w:firstLine="0"/>
              <w:rPr>
                <w:b/>
              </w:rPr>
            </w:pPr>
          </w:p>
        </w:tc>
        <w:tc>
          <w:tcPr>
            <w:tcW w:w="4675" w:type="dxa"/>
          </w:tcPr>
          <w:p>
            <w:pPr>
              <w:keepNext/>
              <w:keepLines/>
              <w:tabs>
                <w:tab w:val="right" w:pos="3919"/>
              </w:tabs>
              <w:spacing w:after="360"/>
              <w:ind w:firstLine="0"/>
              <w:rPr>
                <w:b/>
              </w:rPr>
            </w:pPr>
          </w:p>
        </w:tc>
      </w:tr>
      <w:tr>
        <w:tc>
          <w:tcPr>
            <w:tcW w:w="4675" w:type="dxa"/>
          </w:tcPr>
          <w:p>
            <w:pPr>
              <w:tabs>
                <w:tab w:val="right" w:pos="4298"/>
              </w:tabs>
              <w:spacing w:before="840" w:after="0"/>
              <w:ind w:firstLine="0"/>
              <w:rPr>
                <w:u w:val="single"/>
              </w:rPr>
            </w:pPr>
          </w:p>
        </w:tc>
        <w:tc>
          <w:tcPr>
            <w:tcW w:w="4675" w:type="dxa"/>
          </w:tcPr>
          <w:p>
            <w:pPr>
              <w:tabs>
                <w:tab w:val="right" w:pos="4300"/>
              </w:tabs>
              <w:spacing w:before="840" w:after="0"/>
              <w:ind w:firstLine="0"/>
              <w:rPr>
                <w:u w:val="single"/>
              </w:rPr>
            </w:pPr>
            <w:r>
              <w:rPr>
                <w:u w:val="single"/>
              </w:rPr>
              <w:tab/>
            </w:r>
          </w:p>
        </w:tc>
      </w:tr>
      <w:tr>
        <w:tc>
          <w:tcPr>
            <w:tcW w:w="4675" w:type="dxa"/>
          </w:tcPr>
          <w:p>
            <w:pPr>
              <w:tabs>
                <w:tab w:val="right" w:pos="4298"/>
              </w:tabs>
              <w:spacing w:before="240" w:after="0"/>
              <w:ind w:firstLine="0"/>
              <w:rPr>
                <w:u w:val="single"/>
              </w:rPr>
            </w:pPr>
          </w:p>
        </w:tc>
        <w:tc>
          <w:tcPr>
            <w:tcW w:w="4675" w:type="dxa"/>
          </w:tcPr>
          <w:p>
            <w:pPr>
              <w:tabs>
                <w:tab w:val="right" w:pos="4300"/>
              </w:tabs>
              <w:spacing w:before="240" w:after="0"/>
              <w:ind w:firstLine="0"/>
              <w:rPr>
                <w:u w:val="single"/>
              </w:rPr>
            </w:pPr>
            <w:r>
              <w:t>Name: </w:t>
            </w:r>
            <w:r>
              <w:rPr>
                <w:u w:val="single"/>
              </w:rPr>
              <w:tab/>
            </w:r>
          </w:p>
        </w:tc>
      </w:tr>
      <w:tr>
        <w:tc>
          <w:tcPr>
            <w:tcW w:w="4675" w:type="dxa"/>
          </w:tcPr>
          <w:p>
            <w:pPr>
              <w:tabs>
                <w:tab w:val="right" w:pos="4298"/>
              </w:tabs>
              <w:spacing w:before="240" w:after="0"/>
              <w:ind w:firstLine="0"/>
              <w:rPr>
                <w:u w:val="single"/>
              </w:rPr>
            </w:pPr>
          </w:p>
        </w:tc>
        <w:tc>
          <w:tcPr>
            <w:tcW w:w="4675" w:type="dxa"/>
          </w:tcPr>
          <w:p>
            <w:pPr>
              <w:tabs>
                <w:tab w:val="right" w:pos="4300"/>
              </w:tabs>
              <w:spacing w:before="240" w:after="0"/>
              <w:ind w:firstLine="0"/>
              <w:rPr>
                <w:u w:val="single"/>
              </w:rPr>
            </w:pPr>
            <w:r>
              <w:t>Title: </w:t>
            </w:r>
            <w:r>
              <w:rPr>
                <w:u w:val="single"/>
              </w:rPr>
              <w:tab/>
            </w:r>
          </w:p>
        </w:tc>
      </w:tr>
      <w:tr>
        <w:tc>
          <w:tcPr>
            <w:tcW w:w="4675" w:type="dxa"/>
          </w:tcPr>
          <w:p>
            <w:pPr>
              <w:tabs>
                <w:tab w:val="right" w:pos="4298"/>
              </w:tabs>
              <w:spacing w:before="240" w:after="0"/>
              <w:ind w:firstLine="0"/>
              <w:rPr>
                <w:u w:val="single"/>
              </w:rPr>
            </w:pPr>
          </w:p>
        </w:tc>
        <w:tc>
          <w:tcPr>
            <w:tcW w:w="4675" w:type="dxa"/>
          </w:tcPr>
          <w:p>
            <w:pPr>
              <w:tabs>
                <w:tab w:val="right" w:pos="4300"/>
              </w:tabs>
              <w:spacing w:before="240" w:after="0"/>
              <w:ind w:firstLine="0"/>
              <w:rPr>
                <w:u w:val="single"/>
              </w:rPr>
            </w:pPr>
            <w:r>
              <w:t>Date: </w:t>
            </w:r>
            <w:r>
              <w:rPr>
                <w:u w:val="single"/>
              </w:rPr>
              <w:tab/>
            </w:r>
          </w:p>
        </w:tc>
      </w:tr>
      <w:tr>
        <w:tc>
          <w:tcPr>
            <w:tcW w:w="4675" w:type="dxa"/>
          </w:tcPr>
          <w:p>
            <w:pPr>
              <w:tabs>
                <w:tab w:val="right" w:pos="4298"/>
              </w:tabs>
              <w:spacing w:before="240" w:after="0"/>
              <w:ind w:firstLine="0"/>
              <w:rPr>
                <w:u w:val="single"/>
              </w:rPr>
            </w:pPr>
          </w:p>
        </w:tc>
        <w:tc>
          <w:tcPr>
            <w:tcW w:w="4675" w:type="dxa"/>
          </w:tcPr>
          <w:p>
            <w:pPr>
              <w:tabs>
                <w:tab w:val="right" w:pos="4300"/>
              </w:tabs>
              <w:spacing w:before="240" w:after="0"/>
              <w:ind w:firstLine="0"/>
              <w:rPr>
                <w:u w:val="single"/>
              </w:rPr>
            </w:pPr>
            <w:r>
              <w:t>Place of Execution: </w:t>
            </w:r>
            <w:r>
              <w:rPr>
                <w:u w:val="single"/>
              </w:rPr>
              <w:tab/>
            </w:r>
          </w:p>
        </w:tc>
      </w:tr>
    </w:tbl>
    <w:p/>
    <w:p/>
    <w:p/>
    <w:p>
      <w:pPr>
        <w:tabs>
          <w:tab w:val="left" w:pos="1920"/>
        </w:tabs>
        <w:sectPr>
          <w:footerReference w:type="default" r:id="rId22"/>
          <w:pgSz w:w="12240" w:h="15840"/>
          <w:pgMar w:top="1440" w:right="1440" w:bottom="1440" w:left="1440" w:header="720" w:footer="720" w:gutter="0"/>
          <w:pgNumType w:start="1"/>
          <w:cols w:space="720"/>
          <w:docGrid w:linePitch="360"/>
        </w:sectPr>
      </w:pPr>
      <w:r>
        <w:tab/>
      </w:r>
    </w:p>
    <w:p>
      <w:pPr>
        <w:pStyle w:val="APPENDIXoutlinedc1"/>
      </w:pPr>
      <w:r>
        <w:lastRenderedPageBreak/>
        <w:br/>
      </w:r>
      <w:bookmarkStart w:id="187" w:name="_docxtools_585"/>
      <w:r>
        <w:br/>
      </w:r>
      <w:bookmarkStart w:id="188" w:name="_Toc166243868"/>
      <w:r>
        <w:t>PERFORMANCE SECURITY</w:t>
      </w:r>
      <w:bookmarkEnd w:id="187"/>
      <w:bookmarkEnd w:id="188"/>
    </w:p>
    <w:p>
      <w:r>
        <w:t xml:space="preserve">Pursuant to </w:t>
      </w:r>
      <w:r>
        <w:rPr>
          <w:u w:val="single"/>
        </w:rPr>
        <w:t>Section 6</w:t>
      </w:r>
      <w:r>
        <w:t xml:space="preserve"> of the PPA, if Seller is not Creditworthy, then no later than 60 Days prior to the Construction Start Date and continuing throughout the remainder of the Term, Seller must deliver to PSE and maintain performance security in the form of Eligible Collateral in accordance with this Appendix E (“</w:t>
      </w:r>
      <w:r>
        <w:rPr>
          <w:u w:val="single"/>
        </w:rPr>
        <w:t>Performance Security</w:t>
      </w:r>
      <w:r>
        <w:t>”).  The amount of Performance Security that Seller is required to deliver and maintain is set forth in the Performance Security Table below.</w:t>
      </w:r>
    </w:p>
    <w:p>
      <w:pPr>
        <w:pStyle w:val="Decimaloutlinedc11"/>
        <w:ind w:left="720" w:hanging="720"/>
      </w:pPr>
      <w:r>
        <w:rPr>
          <w:b/>
        </w:rPr>
        <w:t>Supplemental and Replacement Performance Security</w:t>
      </w:r>
      <w:r>
        <w:t xml:space="preserve">.  If any replacement of Performance Security is required to maintain compliance with this </w:t>
      </w:r>
      <w:r>
        <w:rPr>
          <w:u w:val="single"/>
        </w:rPr>
        <w:fldChar w:fldCharType="begin"/>
      </w:r>
      <w:r>
        <w:rPr>
          <w:u w:val="single"/>
        </w:rPr>
        <w:instrText xml:space="preserve"> REF _docxtools_585 \w \h  </w:instrText>
      </w:r>
      <w:r>
        <w:rPr>
          <w:u w:val="single"/>
        </w:rPr>
      </w:r>
      <w:r>
        <w:rPr>
          <w:u w:val="single"/>
        </w:rPr>
        <w:fldChar w:fldCharType="separate"/>
      </w:r>
      <w:r>
        <w:rPr>
          <w:u w:val="single"/>
        </w:rPr>
        <w:t>Appendix E</w:t>
      </w:r>
      <w:r>
        <w:rPr>
          <w:u w:val="single"/>
        </w:rPr>
        <w:fldChar w:fldCharType="end"/>
      </w:r>
      <w:r>
        <w:t xml:space="preserve">, Seller must deliver such replacement Performance Security to PSE no later than ninety (90) Days prior to the date when the existing Eligible Collateral will expire.  If Seller fails to comply with the preceding sentence, PSE will be entitled, without limitation to its other remedies under the PPA or at law, to draw the full amount of the existing Performance Security prior to the expiration date thereof.  If Seller seeks to replace Eligible Collateral used for Performance Security with a different form of Eligible Collateral allowed under this PPA and such replacement is not part of a replacement of Performance Security required to maintain compliance with this </w:t>
      </w:r>
      <w:r>
        <w:rPr>
          <w:u w:val="single"/>
        </w:rPr>
        <w:fldChar w:fldCharType="begin"/>
      </w:r>
      <w:r>
        <w:rPr>
          <w:u w:val="single"/>
        </w:rPr>
        <w:instrText xml:space="preserve"> REF _docxtools_585 \w \h  </w:instrText>
      </w:r>
      <w:r>
        <w:rPr>
          <w:u w:val="single"/>
        </w:rPr>
      </w:r>
      <w:r>
        <w:rPr>
          <w:u w:val="single"/>
        </w:rPr>
        <w:fldChar w:fldCharType="separate"/>
      </w:r>
      <w:r>
        <w:rPr>
          <w:u w:val="single"/>
        </w:rPr>
        <w:t>Appendix E</w:t>
      </w:r>
      <w:r>
        <w:rPr>
          <w:u w:val="single"/>
        </w:rPr>
        <w:fldChar w:fldCharType="end"/>
      </w:r>
      <w:r>
        <w:t>, then Seller must pay PSE a fee of two thousand five hundred dollars ($2,500) as a condition to such replacement of Eligible Collateral.</w:t>
      </w:r>
    </w:p>
    <w:p>
      <w:pPr>
        <w:pStyle w:val="Decimaloutlinedc11"/>
        <w:ind w:left="720" w:hanging="720"/>
      </w:pPr>
      <w:r>
        <w:rPr>
          <w:b/>
        </w:rPr>
        <w:t>Draws and Replenishment of Performance Security</w:t>
      </w:r>
      <w:r>
        <w:t xml:space="preserve">.  In addition to the draws permitted by subsection (1) above, PSE may draw upon the Performance Security to recover any damages arising from a breach of this PPA by Seller or other amounts due and owing to PSE pursuant to the PPA, including Termination Liquidated Damages owed under </w:t>
      </w:r>
      <w:r>
        <w:rPr>
          <w:u w:val="single"/>
        </w:rPr>
        <w:t>Section </w:t>
      </w:r>
      <w:r>
        <w:rPr>
          <w:u w:val="single"/>
        </w:rPr>
        <w:fldChar w:fldCharType="begin"/>
      </w:r>
      <w:r>
        <w:rPr>
          <w:u w:val="single"/>
        </w:rPr>
        <w:instrText xml:space="preserve"> REF _Ref140340677 \w \h  \* MERGEFORMAT </w:instrText>
      </w:r>
      <w:r>
        <w:rPr>
          <w:u w:val="single"/>
        </w:rPr>
      </w:r>
      <w:r>
        <w:rPr>
          <w:u w:val="single"/>
        </w:rPr>
        <w:fldChar w:fldCharType="separate"/>
      </w:r>
      <w:r>
        <w:rPr>
          <w:u w:val="single"/>
        </w:rPr>
        <w:t>17.2.2</w:t>
      </w:r>
      <w:r>
        <w:rPr>
          <w:u w:val="single"/>
        </w:rPr>
        <w:fldChar w:fldCharType="end"/>
      </w:r>
      <w:r>
        <w:t xml:space="preserve"> of the PPA and Delay Damages owned Section 9.2 of the PPA.  In the event of a draw on the Performance Security, then, unless PSE has exercised its right to terminate the PPA pursuant to </w:t>
      </w:r>
      <w:r>
        <w:rPr>
          <w:u w:val="single"/>
        </w:rPr>
        <w:t>Section </w:t>
      </w:r>
      <w:r>
        <w:rPr>
          <w:u w:val="single"/>
        </w:rPr>
        <w:fldChar w:fldCharType="begin"/>
      </w:r>
      <w:r>
        <w:rPr>
          <w:u w:val="single"/>
        </w:rPr>
        <w:instrText xml:space="preserve"> REF _Ref140340123 \w \h  \* MERGEFORMAT </w:instrText>
      </w:r>
      <w:r>
        <w:rPr>
          <w:u w:val="single"/>
        </w:rPr>
      </w:r>
      <w:r>
        <w:rPr>
          <w:u w:val="single"/>
        </w:rPr>
        <w:fldChar w:fldCharType="separate"/>
      </w:r>
      <w:r>
        <w:rPr>
          <w:u w:val="single"/>
        </w:rPr>
        <w:t>17.2</w:t>
      </w:r>
      <w:r>
        <w:rPr>
          <w:u w:val="single"/>
        </w:rPr>
        <w:fldChar w:fldCharType="end"/>
      </w:r>
      <w:r>
        <w:t xml:space="preserve">, Seller must replenish the Performance Security to the full amount required by this </w:t>
      </w:r>
      <w:r>
        <w:rPr>
          <w:u w:val="single"/>
        </w:rPr>
        <w:fldChar w:fldCharType="begin"/>
      </w:r>
      <w:r>
        <w:rPr>
          <w:u w:val="single"/>
        </w:rPr>
        <w:instrText xml:space="preserve"> REF _docxtools_585 \w \h  </w:instrText>
      </w:r>
      <w:r>
        <w:rPr>
          <w:u w:val="single"/>
        </w:rPr>
      </w:r>
      <w:r>
        <w:rPr>
          <w:u w:val="single"/>
        </w:rPr>
        <w:fldChar w:fldCharType="separate"/>
      </w:r>
      <w:r>
        <w:rPr>
          <w:u w:val="single"/>
        </w:rPr>
        <w:t>Appendix E</w:t>
      </w:r>
      <w:r>
        <w:rPr>
          <w:u w:val="single"/>
        </w:rPr>
        <w:fldChar w:fldCharType="end"/>
      </w:r>
      <w:r>
        <w:t xml:space="preserve"> within three (3) Business Days after notice of such draw.</w:t>
      </w:r>
    </w:p>
    <w:p>
      <w:pPr>
        <w:pStyle w:val="Decimaloutlinedc11"/>
        <w:ind w:left="720" w:hanging="720"/>
      </w:pPr>
      <w:r>
        <w:rPr>
          <w:b/>
        </w:rPr>
        <w:t>Creditworthy Status</w:t>
      </w:r>
      <w:r>
        <w:t xml:space="preserve">.  If a Creditworthy Seller, or its Creditworthy Affiliate if a Seller Guaranty is furnished as Performance Security, loses its Creditworthy status during the Term, Seller must deliver Performance Security, or in the case of a Seller Guaranty, replacement Performance Security, to PSE in the amount specified in this </w:t>
      </w:r>
      <w:r>
        <w:rPr>
          <w:u w:val="single"/>
        </w:rPr>
        <w:fldChar w:fldCharType="begin"/>
      </w:r>
      <w:r>
        <w:rPr>
          <w:u w:val="single"/>
        </w:rPr>
        <w:instrText xml:space="preserve"> REF _docxtools_585 \w \h  </w:instrText>
      </w:r>
      <w:r>
        <w:rPr>
          <w:u w:val="single"/>
        </w:rPr>
      </w:r>
      <w:r>
        <w:rPr>
          <w:u w:val="single"/>
        </w:rPr>
        <w:fldChar w:fldCharType="separate"/>
      </w:r>
      <w:r>
        <w:rPr>
          <w:u w:val="single"/>
        </w:rPr>
        <w:t>Appendix E</w:t>
      </w:r>
      <w:r>
        <w:rPr>
          <w:u w:val="single"/>
        </w:rPr>
        <w:fldChar w:fldCharType="end"/>
      </w:r>
      <w:r>
        <w:t xml:space="preserve"> within five (5) Business Days.  If PSE subsequently determines that Seller has regained its Creditworthy status, upon request from Seller, PSE will return the Performance Security within five (5) Business Days of such request.</w:t>
      </w:r>
    </w:p>
    <w:p>
      <w:pPr>
        <w:ind w:firstLine="0"/>
        <w:jc w:val="center"/>
        <w:rPr>
          <w:b/>
        </w:rPr>
      </w:pPr>
      <w:r>
        <w:rPr>
          <w:b/>
        </w:rPr>
        <w:t xml:space="preserve">Performance Security </w:t>
      </w:r>
      <w:proofErr w:type="gramStart"/>
      <w:r>
        <w:rPr>
          <w:b/>
        </w:rPr>
        <w:t>Table</w:t>
      </w:r>
      <w:proofErr w:type="gramEnd"/>
      <w:r>
        <w:rPr>
          <w:b/>
        </w:rPr>
        <w:br/>
        <w:t xml:space="preserve">(calculated using on Facility Size in </w:t>
      </w:r>
      <w:r>
        <w:rPr>
          <w:b/>
        </w:rPr>
        <w:fldChar w:fldCharType="begin"/>
      </w:r>
      <w:r>
        <w:rPr>
          <w:b/>
        </w:rPr>
        <w:instrText xml:space="preserve"> REF _docxtools_290 \w \h  </w:instrText>
      </w:r>
      <w:r>
        <w:rPr>
          <w:b/>
        </w:rPr>
      </w:r>
      <w:r>
        <w:rPr>
          <w:b/>
        </w:rPr>
        <w:fldChar w:fldCharType="separate"/>
      </w:r>
      <w:r>
        <w:rPr>
          <w:b/>
        </w:rPr>
        <w:t>Appendix A</w:t>
      </w:r>
      <w:r>
        <w:rPr>
          <w:b/>
        </w:rPr>
        <w:fldChar w:fldCharType="end"/>
      </w:r>
      <w:r>
        <w:rPr>
          <w:b/>
        </w:rPr>
        <w:t>)</w:t>
      </w:r>
    </w:p>
    <w:tbl>
      <w:tblPr>
        <w:tblStyle w:val="TableGrid"/>
        <w:tblW w:w="0" w:type="auto"/>
        <w:tblInd w:w="3055" w:type="dxa"/>
        <w:tblLook w:val="04A0" w:firstRow="1" w:lastRow="0" w:firstColumn="1" w:lastColumn="0" w:noHBand="0" w:noVBand="1"/>
      </w:tblPr>
      <w:tblGrid>
        <w:gridCol w:w="1800"/>
        <w:gridCol w:w="1331"/>
      </w:tblGrid>
      <w:tr>
        <w:tc>
          <w:tcPr>
            <w:tcW w:w="1800" w:type="dxa"/>
          </w:tcPr>
          <w:p>
            <w:pPr>
              <w:spacing w:before="120" w:after="120"/>
              <w:ind w:firstLine="0"/>
              <w:jc w:val="center"/>
              <w:rPr>
                <w:b/>
              </w:rPr>
            </w:pPr>
            <w:r>
              <w:rPr>
                <w:b/>
              </w:rPr>
              <w:t>Amount ($/kW)</w:t>
            </w:r>
          </w:p>
        </w:tc>
        <w:tc>
          <w:tcPr>
            <w:tcW w:w="1331" w:type="dxa"/>
          </w:tcPr>
          <w:p>
            <w:pPr>
              <w:spacing w:before="120" w:after="120"/>
              <w:ind w:firstLine="0"/>
              <w:jc w:val="center"/>
            </w:pPr>
            <w:r>
              <w:t>$[      ]</w:t>
            </w:r>
          </w:p>
        </w:tc>
      </w:tr>
    </w:tbl>
    <w:p>
      <w:pPr>
        <w:ind w:firstLine="0"/>
        <w:jc w:val="center"/>
        <w:rPr>
          <w:b/>
        </w:rPr>
        <w:sectPr>
          <w:footerReference w:type="default" r:id="rId23"/>
          <w:pgSz w:w="12240" w:h="15840"/>
          <w:pgMar w:top="1440" w:right="1440" w:bottom="1440" w:left="1440" w:header="720" w:footer="720" w:gutter="0"/>
          <w:pgNumType w:start="1"/>
          <w:cols w:space="720"/>
          <w:docGrid w:linePitch="360"/>
        </w:sectPr>
      </w:pPr>
    </w:p>
    <w:p>
      <w:pPr>
        <w:pStyle w:val="APPENDIXoutlinedc1"/>
      </w:pPr>
      <w:r>
        <w:lastRenderedPageBreak/>
        <w:br/>
      </w:r>
      <w:bookmarkStart w:id="190" w:name="_docxtools_595"/>
      <w:r>
        <w:br/>
      </w:r>
      <w:bookmarkStart w:id="191" w:name="_Ref145702973"/>
      <w:bookmarkStart w:id="192" w:name="_Toc166243869"/>
      <w:r>
        <w:t>FORM OF SELLER’S GUARANTY</w:t>
      </w:r>
      <w:bookmarkEnd w:id="190"/>
      <w:bookmarkEnd w:id="191"/>
      <w:bookmarkEnd w:id="192"/>
    </w:p>
    <w:p>
      <w:r>
        <w:t>THIS GUARANTY, dated as of ________________, 202__, is issued by [●], a [●], (“</w:t>
      </w:r>
      <w:r>
        <w:rPr>
          <w:u w:val="single"/>
        </w:rPr>
        <w:t>Guarantor</w:t>
      </w:r>
      <w:r>
        <w:t>”) in favor of Puget Sound Energy, Inc., a Washington corporation (“</w:t>
      </w:r>
      <w:r>
        <w:rPr>
          <w:u w:val="single"/>
        </w:rPr>
        <w:t>Guaranteed Party</w:t>
      </w:r>
      <w:r>
        <w:t>”).  [_____________], a [______] [______], (“</w:t>
      </w:r>
      <w:r>
        <w:rPr>
          <w:u w:val="single"/>
        </w:rPr>
        <w:t>Obligor</w:t>
      </w:r>
      <w:r>
        <w:t>”) is an indirect subsidiary of Guarantor.</w:t>
      </w:r>
    </w:p>
    <w:p>
      <w:pPr>
        <w:ind w:firstLine="0"/>
        <w:jc w:val="center"/>
        <w:rPr>
          <w:b/>
        </w:rPr>
      </w:pPr>
      <w:r>
        <w:rPr>
          <w:b/>
        </w:rPr>
        <w:t>RECITALS</w:t>
      </w:r>
    </w:p>
    <w:p>
      <w:pPr>
        <w:pStyle w:val="UpperLetteroutlinedc1"/>
        <w:numPr>
          <w:ilvl w:val="0"/>
          <w:numId w:val="19"/>
        </w:numPr>
      </w:pPr>
      <w:r>
        <w:t>Obligor and Guaranteed Party have entered into a Distributed Energy Resource Power Purchase Agreement dated as of ___, 20__ (the “</w:t>
      </w:r>
      <w:r>
        <w:rPr>
          <w:u w:val="single"/>
        </w:rPr>
        <w:t>PPA</w:t>
      </w:r>
      <w:r>
        <w:t xml:space="preserve">”).  </w:t>
      </w:r>
    </w:p>
    <w:p>
      <w:pPr>
        <w:pStyle w:val="UpperLetteroutlinedc1"/>
      </w:pPr>
      <w:bookmarkStart w:id="193" w:name="_Ref145702966"/>
      <w:r>
        <w:t>This Guaranty is delivered to Guaranteed Party by Guarantor pursuant to the PPA.</w:t>
      </w:r>
      <w:bookmarkEnd w:id="193"/>
    </w:p>
    <w:p>
      <w:pPr>
        <w:ind w:firstLine="0"/>
        <w:jc w:val="center"/>
        <w:rPr>
          <w:b/>
        </w:rPr>
      </w:pPr>
      <w:r>
        <w:rPr>
          <w:b/>
        </w:rPr>
        <w:t>AGREEMENT</w:t>
      </w:r>
    </w:p>
    <w:p>
      <w:pPr>
        <w:pStyle w:val="Decimaloutlinedc11"/>
        <w:numPr>
          <w:ilvl w:val="0"/>
          <w:numId w:val="23"/>
        </w:numPr>
      </w:pPr>
      <w:r>
        <w:rPr>
          <w:b/>
        </w:rPr>
        <w:t>Guaranty of Obligations Under the PPA</w:t>
      </w:r>
    </w:p>
    <w:p>
      <w:pPr>
        <w:pStyle w:val="Decimaloutlinedc12"/>
      </w:pPr>
      <w:r>
        <w:rPr>
          <w:u w:val="single"/>
        </w:rPr>
        <w:t>Guaranty of Obligations</w:t>
      </w:r>
      <w:r>
        <w:t>.  For value received, Guarantor hereby absolutely, unconditionally and irrevocably, subject to the express terms hereof, guarantees the full payment when due of all payment obligations and performance of any and all obligations, whether now in existence or hereafter arising, by Obligor to Guaranteed Party pursuant to the PPA (the “</w:t>
      </w:r>
      <w:r>
        <w:rPr>
          <w:u w:val="single"/>
        </w:rPr>
        <w:t>Obligations</w:t>
      </w:r>
      <w:r>
        <w:t>”).  This Guaranty is one of payment and not of collection and shall apply regardless of whether recovery of all such Obligations may be or become discharged or uncollectible in any bankruptcy, insolvency or other similar proceeding, or otherwise unenforceable.</w:t>
      </w:r>
    </w:p>
    <w:p>
      <w:pPr>
        <w:pStyle w:val="Decimaloutlinedc12"/>
      </w:pPr>
      <w:r>
        <w:rPr>
          <w:u w:val="single"/>
        </w:rPr>
        <w:t>Maximum Guaranteed Amount</w:t>
      </w:r>
      <w:r>
        <w:t>.  Notwithstanding anything to the contrary herein, Guarantor’s aggregate obligation to Guaranteed Party hereunder is limited to [___________] U.S. Dollars ($__________) (the “</w:t>
      </w:r>
      <w:r>
        <w:rPr>
          <w:u w:val="single"/>
        </w:rPr>
        <w:t>Maximum Guaranteed Amount</w:t>
      </w:r>
      <w:r>
        <w:t>”) except that the foregoing limitation shall not apply to the extent of any liability resulting from the fraud of the Obligor (it being understood for purposes of calculating the Maximum Guaranteed Amount of Guarantor hereunder that any payment by Guarantor either directly or indirectly to the Guaranteed Party, pursuant to a demand made upon Guarantor by Guaranteed Party or otherwise made by Guarantor pursuant to its obligations under this Guaranty including any indemnification obligations, shall reduce Guarantor’s maximum aggregate liability hereunder on a dollar-for-dollar basis) and shall not either individually or in the aggregate be greater or different in character or extent than the obligations of Obligor to Guaranteed Party under the terms of the PPA.  IN NO EVENT SHALL GUARANTOR BE SUBJECT TO ANY CONSEQUENTIAL, EXEMPLARY, EQUITABLE, LOSS OF PROFITS, PUNITIVE, TORT OR OTHER SIMILAR DAMAGES UNLESS OBLIGOR IS OBLIGATED THEREFORE PURSUANT TO THE PPA.</w:t>
      </w:r>
    </w:p>
    <w:p>
      <w:pPr>
        <w:pStyle w:val="Decimaloutlinedc11"/>
      </w:pPr>
      <w:bookmarkStart w:id="194" w:name="_Ref145760652"/>
      <w:r>
        <w:rPr>
          <w:b/>
        </w:rPr>
        <w:t>Payment; Currency</w:t>
      </w:r>
      <w:r>
        <w:t xml:space="preserve">.  All sums payable by Guarantor hereunder shall be made in freely transferable and immediately available funds and shall be made in the currency in which the Obligations were due.  If Obligor fails to pay any Obligation when due, the Guarantor will pay that Obligation directly to Guaranteed Party within twenty (20) Days after written notice to Guarantor by Guaranteed Party.  The </w:t>
      </w:r>
      <w:r>
        <w:lastRenderedPageBreak/>
        <w:t>written notice shall provide a reasonable description of the amount of the Obligation and explanation of why such amount is due.</w:t>
      </w:r>
      <w:bookmarkEnd w:id="194"/>
    </w:p>
    <w:p>
      <w:pPr>
        <w:pStyle w:val="Decimaloutlinedc11"/>
      </w:pPr>
      <w:r>
        <w:rPr>
          <w:b/>
        </w:rPr>
        <w:t>Waiver of Defenses</w:t>
      </w:r>
      <w:r>
        <w:t>.  Except as set forth above, Guarantor hereby waives notice of acceptance of this Guaranty and of the Obligations and any action taken with regard thereto, and waives presentment, demand for payment, protest, notice of dishonor or non-payment of the Obligations, suit, or the taking of and failing to take other action by Guaranteed Party against Obligor, Guarantor or others and waives any defense of a surety.  Without limitation, Guaranteed Party may at any time and from time to time without notice to or consent of Guarantor and without impairing or releasing the obligations of Guarantor hereunder:  (a) make any change to the terms of the Obligations; (b) take or fail to take any action of any kind in respect of any security for the Obligations; (c) exercise or refrain from exercising any rights against Obligor or others in respect of the Obligations or (d) compromise or subordinate the Obligations, including any security therefor.  Notwithstanding the foregoing, Guarantor shall be entitled to assert rights, setoffs, counterclaims and other defenses which Obligor may have to performance of any of the Obligations and also shall be entitled to assert rights, setoffs, counterclaims and other defenses that the Guarantor may have against the Guaranteed party, other than defenses based upon lack of authority of Obligor to enter into and/or perform its obligations under the PPA or any insolvency, bankruptcy, reorganization, arrangement, composition, liquidation, dissolution or similar proceeding with respect to Obligor.</w:t>
      </w:r>
    </w:p>
    <w:p>
      <w:pPr>
        <w:pStyle w:val="Decimaloutlinedc11"/>
      </w:pPr>
      <w:r>
        <w:rPr>
          <w:b/>
        </w:rPr>
        <w:t>Term</w:t>
      </w:r>
      <w:r>
        <w:t>.  This Guaranty shall continue in full force and effect until the satisfaction in full by Obligor of all of the Obligations under the PPA.  Guarantor further agrees that this Guaranty shall continue to be effective or be reinstated, as the case may be, if at any time payment, or any part thereof, of any Obligation is rescinded or must otherwise be restored or returned due to bankruptcy or insolvency laws or otherwise.  Guaranteed party shall return this original executed document to Guarantor within twenty (20) Days of termination of this Guaranty.</w:t>
      </w:r>
    </w:p>
    <w:p>
      <w:pPr>
        <w:pStyle w:val="Decimaloutlinedc11"/>
      </w:pPr>
      <w:r>
        <w:rPr>
          <w:b/>
        </w:rPr>
        <w:t>Subrogation</w:t>
      </w:r>
      <w:r>
        <w:t xml:space="preserve">.  Until all Obligations are indefeasibly performed in full, but subject to </w:t>
      </w:r>
      <w:r>
        <w:rPr>
          <w:u w:val="single"/>
        </w:rPr>
        <w:t>Section </w:t>
      </w:r>
      <w:r>
        <w:rPr>
          <w:u w:val="single"/>
        </w:rPr>
        <w:fldChar w:fldCharType="begin"/>
      </w:r>
      <w:r>
        <w:rPr>
          <w:u w:val="single"/>
        </w:rPr>
        <w:instrText xml:space="preserve"> REF _Ref145760534 \w \h </w:instrText>
      </w:r>
      <w:r>
        <w:rPr>
          <w:u w:val="single"/>
        </w:rPr>
      </w:r>
      <w:r>
        <w:rPr>
          <w:u w:val="single"/>
        </w:rPr>
        <w:fldChar w:fldCharType="separate"/>
      </w:r>
      <w:r>
        <w:rPr>
          <w:u w:val="single"/>
        </w:rPr>
        <w:t>6</w:t>
      </w:r>
      <w:r>
        <w:rPr>
          <w:u w:val="single"/>
        </w:rPr>
        <w:fldChar w:fldCharType="end"/>
      </w:r>
      <w:r>
        <w:t xml:space="preserve"> hereof, Guarantor hereby waives all rights of subrogation, reimbursement, contribution and indemnity from Obligor with respect to this Guaranty and any collateral held therefor, and Guarantor hereby subordinates all rights under any debts owing from Obligor to Guarantor, whether now existing or hereafter arising, to the prior payment of the Obligations.</w:t>
      </w:r>
    </w:p>
    <w:p>
      <w:pPr>
        <w:pStyle w:val="Decimaloutlinedc11"/>
      </w:pPr>
      <w:bookmarkStart w:id="195" w:name="_Ref145760534"/>
      <w:r>
        <w:rPr>
          <w:b/>
        </w:rPr>
        <w:t>Expenses</w:t>
      </w:r>
      <w:r>
        <w:t>.  Whether or not legal action is instituted, Guarantor agrees to reimburse Guaranteed Party on written demand for all reasonable attorneys’ fees and all other reasonable costs and expenses incurred by Guaranteed Party in enforcing its rights under this Guaranty, which reimbursement shall not be included within or count towards the Maximum Guaranteed Amount hereunder.  Notwithstanding the foregoing, the Guarantor shall have no obligation to pay any such costs or expenses if, in any action or proceeding brought by Guaranteed Party giving rise to a demand for payment of such costs or expenses, it is finally adjudicated that the Guarantor is not liable to make payment under Section </w:t>
      </w:r>
      <w:r>
        <w:fldChar w:fldCharType="begin"/>
      </w:r>
      <w:r>
        <w:instrText xml:space="preserve"> REF _Ref145760652 \w \h </w:instrText>
      </w:r>
      <w:r>
        <w:fldChar w:fldCharType="separate"/>
      </w:r>
      <w:r>
        <w:t>2</w:t>
      </w:r>
      <w:r>
        <w:fldChar w:fldCharType="end"/>
      </w:r>
      <w:r>
        <w:t xml:space="preserve"> hereof.</w:t>
      </w:r>
      <w:bookmarkEnd w:id="195"/>
    </w:p>
    <w:p>
      <w:pPr>
        <w:pStyle w:val="Decimaloutlinedc11"/>
      </w:pPr>
      <w:bookmarkStart w:id="196" w:name="_Ref145760696"/>
      <w:r>
        <w:rPr>
          <w:b/>
        </w:rPr>
        <w:t>Assignment</w:t>
      </w:r>
      <w:r>
        <w:t xml:space="preserve">.  Guarantor may not assign its rights or delegate its obligations under this Guaranty in whole or part without written consent of Guaranteed Party; </w:t>
      </w:r>
      <w:r>
        <w:rPr>
          <w:i/>
        </w:rPr>
        <w:t>provided</w:t>
      </w:r>
      <w:r>
        <w:t xml:space="preserve">, </w:t>
      </w:r>
      <w:r>
        <w:rPr>
          <w:i/>
        </w:rPr>
        <w:t>however</w:t>
      </w:r>
      <w:r>
        <w:t xml:space="preserve">, </w:t>
      </w:r>
      <w:r>
        <w:rPr>
          <w:i/>
        </w:rPr>
        <w:t>that</w:t>
      </w:r>
      <w:r>
        <w:t xml:space="preserve"> Guarantor may assign its rights and delegate its obligations under this Guaranty without the consent of Guaranteed Party if (a) such assignment and delegation is pursuant to the assignment and delegation of all of </w:t>
      </w:r>
      <w:r>
        <w:lastRenderedPageBreak/>
        <w:t>Guarantor’s rights and obligations hereunder, in whatever form Guarantor determines may be appropriate, to a partnership, limited liability company, corporation, trust or other organization in whatever form that succeeds to all or substantially all of Guarantor’s assets and business and that assumes such obligations by contract, operation of law or otherwise, provided, such entity has an Investment Grade Rating by either Moody’s Investors Service, Inc. (“</w:t>
      </w:r>
      <w:r>
        <w:rPr>
          <w:u w:val="single"/>
        </w:rPr>
        <w:t>Moody’s</w:t>
      </w:r>
      <w:r>
        <w:t>”) or Standard &amp; Poor’s Ratings Group, a division of McGraw-Hill, Inc. (“</w:t>
      </w:r>
      <w:r>
        <w:rPr>
          <w:u w:val="single"/>
        </w:rPr>
        <w:t>S&amp;P</w:t>
      </w:r>
      <w:r>
        <w:t xml:space="preserve">”) or (b) such assignment and delegation is made to an entity within the [_____________] group of companies that has an Investment Grade Rating by either Moody’s or S&amp;P.  For purposes of this </w:t>
      </w:r>
      <w:r>
        <w:rPr>
          <w:u w:val="single"/>
        </w:rPr>
        <w:t>Section </w:t>
      </w:r>
      <w:r>
        <w:rPr>
          <w:u w:val="single"/>
        </w:rPr>
        <w:fldChar w:fldCharType="begin"/>
      </w:r>
      <w:r>
        <w:rPr>
          <w:u w:val="single"/>
        </w:rPr>
        <w:instrText xml:space="preserve"> REF _Ref145760696 \w \h </w:instrText>
      </w:r>
      <w:r>
        <w:rPr>
          <w:u w:val="single"/>
        </w:rPr>
      </w:r>
      <w:r>
        <w:rPr>
          <w:u w:val="single"/>
        </w:rPr>
        <w:fldChar w:fldCharType="separate"/>
      </w:r>
      <w:r>
        <w:rPr>
          <w:u w:val="single"/>
        </w:rPr>
        <w:t>7</w:t>
      </w:r>
      <w:r>
        <w:rPr>
          <w:u w:val="single"/>
        </w:rPr>
        <w:fldChar w:fldCharType="end"/>
      </w:r>
      <w:r>
        <w:t>, “Investment Grade Rating” means a minimum credit rating for senior unsecured debt or corporate credit rating of BBB- by S&amp;P or Baa3 by Moody’s.  Upon any such delegation and assumption of obligations and, if required, the written consent of Guaranteed Party (which consent shall not be unreasonably withheld, conditioned or delayed), Guarantor shall be relieved of and fully discharged from all obligations hereunder, whether such obligations arose before or after such delegation and assumption.</w:t>
      </w:r>
      <w:bookmarkEnd w:id="196"/>
    </w:p>
    <w:p>
      <w:pPr>
        <w:pStyle w:val="Decimaloutlinedc11"/>
      </w:pPr>
      <w:r>
        <w:rPr>
          <w:b/>
        </w:rPr>
        <w:t>Non-Waiver</w:t>
      </w:r>
      <w:r>
        <w:t>.  The failure of Guaranteed Party to enforce any provisions of this Guaranty at any time or for any period of time shall not be construed to be a waiver of any such provision or the right thereafter to enforce same.  All remedies of Guaranteed Party under this Guaranty shall be cumulative and shall be in addition to any other remedy now or hereafter existing at law or in equity.  The terms and provisions hereof may not be waived, altered, modified, or amended except in a writing executed by Guarantor and Guaranteed Party.</w:t>
      </w:r>
    </w:p>
    <w:p>
      <w:pPr>
        <w:pStyle w:val="Decimaloutlinedc11"/>
      </w:pPr>
      <w:r>
        <w:rPr>
          <w:b/>
        </w:rPr>
        <w:t>Entire Agreement</w:t>
      </w:r>
      <w:r>
        <w:t>.  This Guaranty and the PPA are the entire and only agreements between Guarantor and Guaranteed Party with respect to the guaranty of the Obligations of Obligor by Guarantor.  All agreements or undertakings heretofore or contemporaneously made, which are not set forth herein, are superseded hereby.</w:t>
      </w:r>
    </w:p>
    <w:p>
      <w:pPr>
        <w:pStyle w:val="Decimaloutlinedc11"/>
      </w:pPr>
      <w:bookmarkStart w:id="197" w:name="_Ref145761635"/>
      <w:r>
        <w:rPr>
          <w:b/>
        </w:rPr>
        <w:t>Notice</w:t>
      </w:r>
      <w:r>
        <w:t xml:space="preserve">.  Any demand for payment, notice, request, instruction, correspondence or other document to be given hereunder by Guarantor or by Guaranteed Party shall be in writing and shall be deemed received (a) if given personally, when received, (b) if mailed by certified mail (postage prepaid and return receipt requested), five Days after deposit in the U.S. mails, (c) if given by facsimile, when transmitted with confirmed transmission, or (d) if given via overnight express courier service, when received or personally delivered, in each case with charges prepaid and addressed as follows (or such other address as either Guarantor or Guaranteed Party shall specify in a notice delivered to the other in accordance with this </w:t>
      </w:r>
      <w:r>
        <w:rPr>
          <w:u w:val="single"/>
        </w:rPr>
        <w:t>Section </w:t>
      </w:r>
      <w:r>
        <w:rPr>
          <w:u w:val="single"/>
        </w:rPr>
        <w:fldChar w:fldCharType="begin"/>
      </w:r>
      <w:r>
        <w:rPr>
          <w:u w:val="single"/>
        </w:rPr>
        <w:instrText xml:space="preserve"> REF _Ref145761635 \n \h </w:instrText>
      </w:r>
      <w:r>
        <w:rPr>
          <w:u w:val="single"/>
        </w:rPr>
      </w:r>
      <w:r>
        <w:rPr>
          <w:u w:val="single"/>
        </w:rPr>
        <w:fldChar w:fldCharType="separate"/>
      </w:r>
      <w:r>
        <w:rPr>
          <w:u w:val="single"/>
        </w:rPr>
        <w:t>10</w:t>
      </w:r>
      <w:r>
        <w:rPr>
          <w:u w:val="single"/>
        </w:rPr>
        <w:fldChar w:fldCharType="end"/>
      </w:r>
      <w:r>
        <w:t>):</w:t>
      </w:r>
      <w:bookmarkEnd w:id="197"/>
    </w:p>
    <w:p>
      <w:pPr>
        <w:keepNext/>
        <w:keepLines/>
        <w:ind w:left="1440"/>
      </w:pPr>
      <w:r>
        <w:t>If to Guarantor:</w:t>
      </w:r>
    </w:p>
    <w:p>
      <w:pPr>
        <w:keepNext/>
        <w:keepLines/>
        <w:spacing w:after="0"/>
        <w:ind w:left="2880" w:firstLine="0"/>
      </w:pPr>
      <w:r>
        <w:t>[●]</w:t>
      </w:r>
    </w:p>
    <w:p>
      <w:pPr>
        <w:keepNext/>
        <w:keepLines/>
        <w:spacing w:after="0"/>
        <w:ind w:left="2880" w:firstLine="0"/>
      </w:pPr>
      <w:r>
        <w:t>Attn:  [●]</w:t>
      </w:r>
    </w:p>
    <w:p>
      <w:pPr>
        <w:keepNext/>
        <w:keepLines/>
        <w:spacing w:after="0"/>
        <w:ind w:left="2880" w:firstLine="0"/>
      </w:pPr>
      <w:r>
        <w:t>[●]</w:t>
      </w:r>
    </w:p>
    <w:p>
      <w:pPr>
        <w:keepNext/>
        <w:keepLines/>
        <w:spacing w:after="0"/>
        <w:ind w:left="2880" w:firstLine="0"/>
      </w:pPr>
      <w:r>
        <w:t>[●]</w:t>
      </w:r>
    </w:p>
    <w:p>
      <w:pPr>
        <w:ind w:left="2880" w:firstLine="0"/>
      </w:pPr>
      <w:r>
        <w:t>[●]</w:t>
      </w:r>
    </w:p>
    <w:p>
      <w:pPr>
        <w:keepNext/>
        <w:keepLines/>
        <w:ind w:left="1440"/>
      </w:pPr>
      <w:r>
        <w:lastRenderedPageBreak/>
        <w:t>If to Guaranteed Party:</w:t>
      </w:r>
    </w:p>
    <w:p>
      <w:pPr>
        <w:keepNext/>
        <w:keepLines/>
        <w:spacing w:after="0"/>
        <w:ind w:left="2880" w:firstLine="0"/>
      </w:pPr>
      <w:r>
        <w:t>[●]</w:t>
      </w:r>
    </w:p>
    <w:p>
      <w:pPr>
        <w:keepNext/>
        <w:keepLines/>
        <w:spacing w:after="0"/>
        <w:ind w:left="2880" w:firstLine="0"/>
      </w:pPr>
      <w:r>
        <w:t>Attn:  [●]</w:t>
      </w:r>
    </w:p>
    <w:p>
      <w:pPr>
        <w:keepNext/>
        <w:keepLines/>
        <w:spacing w:after="0"/>
        <w:ind w:left="2880" w:firstLine="0"/>
      </w:pPr>
      <w:r>
        <w:t>[●]</w:t>
      </w:r>
    </w:p>
    <w:p>
      <w:pPr>
        <w:keepNext/>
        <w:keepLines/>
        <w:spacing w:after="0"/>
        <w:ind w:left="2880" w:firstLine="0"/>
      </w:pPr>
      <w:r>
        <w:t>[●]</w:t>
      </w:r>
    </w:p>
    <w:p>
      <w:pPr>
        <w:ind w:left="2880" w:firstLine="0"/>
      </w:pPr>
      <w:r>
        <w:t>[●]</w:t>
      </w:r>
    </w:p>
    <w:p>
      <w:pPr>
        <w:pStyle w:val="Decimaloutlinedc11"/>
      </w:pPr>
      <w:r>
        <w:rPr>
          <w:b/>
        </w:rPr>
        <w:t>Counterparts</w:t>
      </w:r>
      <w:r>
        <w:t>.  This Guaranty may be executed in counterparts, each of which when executed and delivered shall constitute one and the same instrument.</w:t>
      </w:r>
    </w:p>
    <w:p>
      <w:pPr>
        <w:pStyle w:val="Decimaloutlinedc11"/>
      </w:pPr>
      <w:r>
        <w:rPr>
          <w:b/>
        </w:rPr>
        <w:t>Governing Law; Jurisdiction</w:t>
      </w:r>
      <w:r>
        <w:t>.  This Guaranty shall be governed by and construed in accordance with the laws of the state of New York without giving effect to principles of conflicts of law.  Guarantor and Guaranteed Party agree to the non-exclusive jurisdiction of any federal district court located in King County, Washington, over any disputes arising or relating to this Guaranty.</w:t>
      </w:r>
    </w:p>
    <w:p>
      <w:pPr>
        <w:pStyle w:val="Decimaloutlinedc11"/>
      </w:pPr>
      <w:r>
        <w:rPr>
          <w:b/>
        </w:rPr>
        <w:t>Further Assurances</w:t>
      </w:r>
      <w:r>
        <w:t>.  Guarantor shall cause to be promptly and duly taken, executed and acknowledged and delivered, such further documents and instruments as Guaranteed Party may from time to time reasonably request in order to carry out the intent and purposes of this Guaranty.</w:t>
      </w:r>
    </w:p>
    <w:p>
      <w:pPr>
        <w:pStyle w:val="Decimaloutlinedc11"/>
      </w:pPr>
      <w:r>
        <w:rPr>
          <w:b/>
        </w:rPr>
        <w:t>Limitation on Liability</w:t>
      </w:r>
      <w:r>
        <w:t>.  Except as specifically provided in this Guaranty, Guaranteed Party shall have no claim, remedy or right to proceed against Guarantor or against any past, present or future stockholder, partner, member, director or officer thereof for the payment of any of the Obligations, as the case may be, or any claim arising out of any agreement, certificate, representation, covenant or warranty made by Obligor in the PPA.</w:t>
      </w:r>
    </w:p>
    <w:p>
      <w:pPr>
        <w:ind w:firstLine="0"/>
        <w:jc w:val="center"/>
      </w:pPr>
      <w:r>
        <w:t>[</w:t>
      </w:r>
      <w:r>
        <w:rPr>
          <w:i/>
        </w:rPr>
        <w:t>SIGNATURE PAGE FOLLOWS</w:t>
      </w:r>
      <w:r>
        <w:t>]</w:t>
      </w:r>
    </w:p>
    <w:p>
      <w:pPr>
        <w:spacing w:after="160"/>
        <w:ind w:firstLine="0"/>
        <w:jc w:val="left"/>
      </w:pPr>
      <w:r>
        <w:br w:type="page"/>
      </w:r>
    </w:p>
    <w:p>
      <w:r>
        <w:lastRenderedPageBreak/>
        <w:t>IN WITNESS WHEREOF, the Guarantor has executed and delivered this Guaranty as of the date first set forth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tc>
          <w:tcPr>
            <w:tcW w:w="4675" w:type="dxa"/>
          </w:tcPr>
          <w:p>
            <w:pPr>
              <w:spacing w:after="360"/>
              <w:ind w:firstLine="0"/>
              <w:rPr>
                <w:b/>
              </w:rPr>
            </w:pPr>
          </w:p>
        </w:tc>
        <w:tc>
          <w:tcPr>
            <w:tcW w:w="4675" w:type="dxa"/>
          </w:tcPr>
          <w:p>
            <w:pPr>
              <w:spacing w:after="360"/>
              <w:ind w:firstLine="0"/>
              <w:rPr>
                <w:b/>
              </w:rPr>
            </w:pPr>
            <w:r>
              <w:rPr>
                <w:b/>
              </w:rPr>
              <w:t>GUARANTOR:</w:t>
            </w:r>
          </w:p>
          <w:p>
            <w:pPr>
              <w:tabs>
                <w:tab w:val="right" w:pos="3919"/>
              </w:tabs>
              <w:spacing w:after="360"/>
              <w:ind w:firstLine="0"/>
              <w:rPr>
                <w:b/>
              </w:rPr>
            </w:pPr>
            <w:r>
              <w:rPr>
                <w:b/>
              </w:rPr>
              <w:t>[</w:t>
            </w:r>
            <w:r>
              <w:rPr>
                <w:b/>
                <w:u w:val="single"/>
              </w:rPr>
              <w:tab/>
            </w:r>
            <w:r>
              <w:rPr>
                <w:b/>
              </w:rPr>
              <w:t>]</w:t>
            </w:r>
          </w:p>
        </w:tc>
      </w:tr>
      <w:tr>
        <w:tc>
          <w:tcPr>
            <w:tcW w:w="4675" w:type="dxa"/>
          </w:tcPr>
          <w:p>
            <w:pPr>
              <w:tabs>
                <w:tab w:val="right" w:pos="4298"/>
              </w:tabs>
              <w:spacing w:before="840" w:after="0"/>
              <w:ind w:firstLine="0"/>
              <w:rPr>
                <w:u w:val="single"/>
              </w:rPr>
            </w:pPr>
          </w:p>
        </w:tc>
        <w:tc>
          <w:tcPr>
            <w:tcW w:w="4675" w:type="dxa"/>
          </w:tcPr>
          <w:p>
            <w:pPr>
              <w:tabs>
                <w:tab w:val="right" w:pos="4300"/>
              </w:tabs>
              <w:spacing w:before="840" w:after="0"/>
              <w:ind w:firstLine="0"/>
              <w:rPr>
                <w:u w:val="single"/>
              </w:rPr>
            </w:pPr>
            <w:r>
              <w:rPr>
                <w:u w:val="single"/>
              </w:rPr>
              <w:tab/>
            </w:r>
          </w:p>
        </w:tc>
      </w:tr>
      <w:tr>
        <w:tc>
          <w:tcPr>
            <w:tcW w:w="4675" w:type="dxa"/>
          </w:tcPr>
          <w:p>
            <w:pPr>
              <w:tabs>
                <w:tab w:val="right" w:pos="4298"/>
              </w:tabs>
              <w:spacing w:before="240" w:after="0"/>
              <w:ind w:firstLine="0"/>
              <w:rPr>
                <w:u w:val="single"/>
              </w:rPr>
            </w:pPr>
          </w:p>
        </w:tc>
        <w:tc>
          <w:tcPr>
            <w:tcW w:w="4675" w:type="dxa"/>
          </w:tcPr>
          <w:p>
            <w:pPr>
              <w:tabs>
                <w:tab w:val="right" w:pos="4300"/>
              </w:tabs>
              <w:spacing w:before="240" w:after="0"/>
              <w:ind w:firstLine="0"/>
              <w:rPr>
                <w:u w:val="single"/>
              </w:rPr>
            </w:pPr>
            <w:r>
              <w:t>Name: </w:t>
            </w:r>
            <w:r>
              <w:rPr>
                <w:u w:val="single"/>
              </w:rPr>
              <w:tab/>
            </w:r>
          </w:p>
        </w:tc>
      </w:tr>
      <w:tr>
        <w:tc>
          <w:tcPr>
            <w:tcW w:w="4675" w:type="dxa"/>
          </w:tcPr>
          <w:p>
            <w:pPr>
              <w:tabs>
                <w:tab w:val="right" w:pos="4298"/>
              </w:tabs>
              <w:spacing w:before="240" w:after="0"/>
              <w:ind w:firstLine="0"/>
              <w:rPr>
                <w:u w:val="single"/>
              </w:rPr>
            </w:pPr>
          </w:p>
        </w:tc>
        <w:tc>
          <w:tcPr>
            <w:tcW w:w="4675" w:type="dxa"/>
          </w:tcPr>
          <w:p>
            <w:pPr>
              <w:tabs>
                <w:tab w:val="right" w:pos="4300"/>
              </w:tabs>
              <w:spacing w:before="240" w:after="0"/>
              <w:ind w:firstLine="0"/>
              <w:rPr>
                <w:u w:val="single"/>
              </w:rPr>
            </w:pPr>
            <w:r>
              <w:t>Title: </w:t>
            </w:r>
            <w:r>
              <w:rPr>
                <w:u w:val="single"/>
              </w:rPr>
              <w:tab/>
            </w:r>
          </w:p>
        </w:tc>
      </w:tr>
    </w:tbl>
    <w:p>
      <w:pPr>
        <w:spacing w:before="600"/>
        <w:ind w:firstLine="0"/>
        <w:rPr>
          <w:b/>
        </w:rPr>
      </w:pPr>
      <w:r>
        <w:rPr>
          <w:b/>
        </w:rPr>
        <w:t>Acknowledged and agreed: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tc>
          <w:tcPr>
            <w:tcW w:w="4675" w:type="dxa"/>
          </w:tcPr>
          <w:p>
            <w:pPr>
              <w:spacing w:after="360"/>
              <w:ind w:firstLine="0"/>
              <w:rPr>
                <w:b/>
              </w:rPr>
            </w:pPr>
            <w:r>
              <w:rPr>
                <w:b/>
              </w:rPr>
              <w:t>GUARANTEED PARTY:</w:t>
            </w:r>
          </w:p>
          <w:p>
            <w:pPr>
              <w:spacing w:after="360"/>
              <w:ind w:firstLine="0"/>
              <w:rPr>
                <w:b/>
              </w:rPr>
            </w:pPr>
            <w:r>
              <w:rPr>
                <w:b/>
              </w:rPr>
              <w:t>Puget Sound Energy, Inc.</w:t>
            </w:r>
          </w:p>
        </w:tc>
      </w:tr>
      <w:tr>
        <w:tc>
          <w:tcPr>
            <w:tcW w:w="4675" w:type="dxa"/>
          </w:tcPr>
          <w:p>
            <w:pPr>
              <w:tabs>
                <w:tab w:val="right" w:pos="4298"/>
              </w:tabs>
              <w:spacing w:before="840" w:after="0"/>
              <w:ind w:firstLine="0"/>
              <w:rPr>
                <w:u w:val="single"/>
              </w:rPr>
            </w:pPr>
            <w:r>
              <w:rPr>
                <w:u w:val="single"/>
              </w:rPr>
              <w:tab/>
            </w:r>
          </w:p>
        </w:tc>
      </w:tr>
      <w:tr>
        <w:tc>
          <w:tcPr>
            <w:tcW w:w="4675" w:type="dxa"/>
          </w:tcPr>
          <w:p>
            <w:pPr>
              <w:tabs>
                <w:tab w:val="right" w:pos="4298"/>
              </w:tabs>
              <w:spacing w:before="240" w:after="0"/>
              <w:ind w:firstLine="0"/>
              <w:rPr>
                <w:u w:val="single"/>
              </w:rPr>
            </w:pPr>
            <w:r>
              <w:t>Name: </w:t>
            </w:r>
            <w:r>
              <w:rPr>
                <w:u w:val="single"/>
              </w:rPr>
              <w:tab/>
            </w:r>
          </w:p>
        </w:tc>
      </w:tr>
      <w:tr>
        <w:tc>
          <w:tcPr>
            <w:tcW w:w="4675" w:type="dxa"/>
          </w:tcPr>
          <w:p>
            <w:pPr>
              <w:tabs>
                <w:tab w:val="right" w:pos="4298"/>
              </w:tabs>
              <w:spacing w:before="240" w:after="0"/>
              <w:ind w:firstLine="0"/>
              <w:rPr>
                <w:u w:val="single"/>
              </w:rPr>
            </w:pPr>
            <w:r>
              <w:t>Title: </w:t>
            </w:r>
            <w:r>
              <w:rPr>
                <w:u w:val="single"/>
              </w:rPr>
              <w:tab/>
            </w:r>
          </w:p>
        </w:tc>
      </w:tr>
    </w:tbl>
    <w:p>
      <w:pPr>
        <w:sectPr>
          <w:footerReference w:type="default" r:id="rId24"/>
          <w:pgSz w:w="12240" w:h="15840"/>
          <w:pgMar w:top="1440" w:right="1440" w:bottom="1440" w:left="1440" w:header="720" w:footer="720" w:gutter="0"/>
          <w:pgNumType w:start="1"/>
          <w:cols w:space="720"/>
          <w:docGrid w:linePitch="360"/>
        </w:sectPr>
      </w:pPr>
    </w:p>
    <w:p>
      <w:pPr>
        <w:pStyle w:val="APPENDIXoutlinedc1"/>
      </w:pPr>
      <w:r>
        <w:lastRenderedPageBreak/>
        <w:br/>
      </w:r>
      <w:bookmarkStart w:id="198" w:name="_docxtools_656"/>
      <w:r>
        <w:br/>
      </w:r>
      <w:bookmarkStart w:id="199" w:name="_Ref145701988"/>
      <w:bookmarkStart w:id="200" w:name="_Toc166243870"/>
      <w:r>
        <w:t>FORM OF LETTER OF CREDIT</w:t>
      </w:r>
      <w:bookmarkEnd w:id="198"/>
      <w:bookmarkEnd w:id="199"/>
      <w:bookmarkEnd w:id="200"/>
    </w:p>
    <w:p>
      <w:pPr>
        <w:spacing w:after="600"/>
        <w:ind w:firstLine="0"/>
        <w:jc w:val="center"/>
      </w:pPr>
      <w:r>
        <w:t>[LETTERHEAD]</w:t>
      </w:r>
    </w:p>
    <w:p>
      <w:pPr>
        <w:spacing w:after="360"/>
        <w:ind w:firstLine="0"/>
      </w:pPr>
      <w:r>
        <w:t>[Date]</w:t>
      </w:r>
    </w:p>
    <w:p>
      <w:pPr>
        <w:spacing w:after="360"/>
        <w:ind w:firstLine="0"/>
        <w:rPr>
          <w:b/>
        </w:rPr>
      </w:pPr>
      <w:r>
        <w:rPr>
          <w:b/>
        </w:rPr>
        <w:t>Irrevocable Standby Letter of Credit No. [</w:t>
      </w:r>
      <w:r>
        <w:rPr>
          <w:rFonts w:ascii="Calibri" w:hAnsi="Calibri" w:cs="Calibri"/>
          <w:b/>
        </w:rPr>
        <w:t>●</w:t>
      </w:r>
      <w:r>
        <w:rPr>
          <w:b/>
        </w:rPr>
        <w:t>]</w:t>
      </w:r>
    </w:p>
    <w:p>
      <w:pPr>
        <w:spacing w:after="0"/>
        <w:ind w:left="1440" w:hanging="1440"/>
        <w:jc w:val="left"/>
      </w:pPr>
      <w:r>
        <w:rPr>
          <w:b/>
        </w:rPr>
        <w:t>Beneficiary</w:t>
      </w:r>
      <w:r>
        <w:t>:</w:t>
      </w:r>
      <w:r>
        <w:tab/>
        <w:t>Puget Sound Energy, Inc.</w:t>
      </w:r>
    </w:p>
    <w:p>
      <w:pPr>
        <w:spacing w:after="0"/>
        <w:ind w:left="1440" w:firstLine="0"/>
        <w:jc w:val="left"/>
      </w:pPr>
      <w:r>
        <w:t>10885 NE 4th Street</w:t>
      </w:r>
    </w:p>
    <w:p>
      <w:pPr>
        <w:spacing w:after="0"/>
        <w:ind w:left="1440" w:firstLine="0"/>
        <w:jc w:val="left"/>
      </w:pPr>
      <w:r>
        <w:t>Bellevue, WA 98004-5591</w:t>
      </w:r>
    </w:p>
    <w:p>
      <w:pPr>
        <w:spacing w:after="0"/>
        <w:ind w:left="1440" w:firstLine="0"/>
        <w:jc w:val="left"/>
      </w:pPr>
      <w:r>
        <w:t>Attn:</w:t>
      </w:r>
      <w:r>
        <w:tab/>
        <w:t>[Name]</w:t>
      </w:r>
    </w:p>
    <w:p>
      <w:pPr>
        <w:spacing w:after="0"/>
        <w:ind w:left="1440"/>
        <w:jc w:val="left"/>
      </w:pPr>
      <w:r>
        <w:t>[Title]</w:t>
      </w:r>
    </w:p>
    <w:p>
      <w:pPr>
        <w:spacing w:after="0"/>
        <w:ind w:left="1440" w:firstLine="0"/>
        <w:jc w:val="left"/>
      </w:pPr>
      <w:r>
        <w:t>Phone:</w:t>
      </w:r>
      <w:r>
        <w:tab/>
        <w:t>[Phone]</w:t>
      </w:r>
    </w:p>
    <w:p>
      <w:pPr>
        <w:spacing w:after="360"/>
        <w:ind w:left="1440" w:firstLine="0"/>
        <w:jc w:val="left"/>
      </w:pPr>
      <w:r>
        <w:t>Email:</w:t>
      </w:r>
      <w:r>
        <w:tab/>
        <w:t>[Email]</w:t>
      </w:r>
    </w:p>
    <w:p>
      <w:pPr>
        <w:spacing w:after="360"/>
        <w:ind w:firstLine="0"/>
        <w:rPr>
          <w:b/>
        </w:rPr>
      </w:pPr>
      <w:r>
        <w:rPr>
          <w:b/>
        </w:rPr>
        <w:t>Applicant</w:t>
      </w:r>
      <w:r>
        <w:t>:</w:t>
      </w:r>
      <w:r>
        <w:tab/>
        <w:t>[●] on behalf of [____________] LLC</w:t>
      </w:r>
    </w:p>
    <w:p>
      <w:pPr>
        <w:spacing w:after="0"/>
        <w:ind w:left="1440" w:hanging="1440"/>
        <w:jc w:val="left"/>
      </w:pPr>
      <w:r>
        <w:t>[●]</w:t>
      </w:r>
    </w:p>
    <w:p>
      <w:pPr>
        <w:spacing w:after="0"/>
        <w:ind w:left="1440" w:hanging="1440"/>
        <w:jc w:val="left"/>
      </w:pPr>
      <w:r>
        <w:t>[●]</w:t>
      </w:r>
    </w:p>
    <w:p>
      <w:pPr>
        <w:spacing w:after="0"/>
        <w:ind w:left="1440" w:hanging="1440"/>
        <w:jc w:val="left"/>
      </w:pPr>
      <w:r>
        <w:t>[●]</w:t>
      </w:r>
    </w:p>
    <w:p>
      <w:pPr>
        <w:spacing w:after="0"/>
        <w:ind w:left="1440" w:hanging="1440"/>
        <w:jc w:val="left"/>
      </w:pPr>
      <w:r>
        <w:t>[●]</w:t>
      </w:r>
    </w:p>
    <w:p>
      <w:pPr>
        <w:spacing w:after="360"/>
        <w:ind w:firstLine="0"/>
        <w:rPr>
          <w:b/>
        </w:rPr>
      </w:pPr>
      <w:r>
        <w:t>Attn:</w:t>
      </w:r>
      <w:r>
        <w:tab/>
        <w:t>Credit Department</w:t>
      </w:r>
    </w:p>
    <w:p>
      <w:pPr>
        <w:ind w:firstLine="0"/>
      </w:pPr>
      <w:r>
        <w:t>Dear Madam or Sir:</w:t>
      </w:r>
    </w:p>
    <w:p>
      <w:r>
        <w:t>We hereby establish for the account of [</w:t>
      </w:r>
      <w:r>
        <w:rPr>
          <w:rFonts w:ascii="Calibri" w:hAnsi="Calibri" w:cs="Calibri"/>
        </w:rPr>
        <w:t>●</w:t>
      </w:r>
      <w:r>
        <w:t>] (the “</w:t>
      </w:r>
      <w:r>
        <w:rPr>
          <w:u w:val="single"/>
        </w:rPr>
        <w:t>Account Party</w:t>
      </w:r>
      <w:r>
        <w:t>”), our irrevocable standby letter of credit in your favor for an amount of USD $[</w:t>
      </w:r>
      <w:r>
        <w:rPr>
          <w:rFonts w:ascii="Calibri" w:hAnsi="Calibri" w:cs="Calibri"/>
        </w:rPr>
        <w:t>●</w:t>
      </w:r>
      <w:r>
        <w:t xml:space="preserve">] ([Amt in </w:t>
      </w:r>
      <w:proofErr w:type="gramStart"/>
      <w:r>
        <w:t>words ]</w:t>
      </w:r>
      <w:proofErr w:type="gramEnd"/>
      <w:r>
        <w:t xml:space="preserve"> Dollars United States currency) (the “</w:t>
      </w:r>
      <w:r>
        <w:rPr>
          <w:u w:val="single"/>
        </w:rPr>
        <w:t>Available Amount</w:t>
      </w:r>
      <w:r>
        <w:t>”).  Account Party has advised us that this letter of credit is issued in connection with the Distributed Energy Resource Power Purchase Agreement, dated as of [</w:t>
      </w:r>
      <w:r>
        <w:rPr>
          <w:rFonts w:ascii="Calibri" w:hAnsi="Calibri" w:cs="Calibri"/>
        </w:rPr>
        <w:t>●</w:t>
      </w:r>
      <w:r>
        <w:t>], 202[__] between Account Party and Beneficiary (as amended and as may be further amended, supplemented or otherwise modified).  This letter of credit shall (i) become effective immediately for the term of one (1) year and shall expire on [</w:t>
      </w:r>
      <w:r>
        <w:rPr>
          <w:rFonts w:ascii="Calibri" w:hAnsi="Calibri" w:cs="Calibri"/>
        </w:rPr>
        <w:t>●</w:t>
      </w:r>
      <w:r>
        <w:t>] (the “</w:t>
      </w:r>
      <w:r>
        <w:rPr>
          <w:u w:val="single"/>
        </w:rPr>
        <w:t>Expiration Date</w:t>
      </w:r>
      <w:r>
        <w:t>”), and (ii) is subject to the following:</w:t>
      </w:r>
    </w:p>
    <w:p>
      <w:pPr>
        <w:pStyle w:val="APPENDIXoutlinedc4"/>
      </w:pPr>
      <w:r>
        <w:t xml:space="preserve">Funds under this letter of credit shall be made available to Beneficiary against its draft drawn on us in the form of </w:t>
      </w:r>
      <w:r>
        <w:rPr>
          <w:u w:val="single"/>
        </w:rPr>
        <w:fldChar w:fldCharType="begin"/>
      </w:r>
      <w:r>
        <w:rPr>
          <w:u w:val="single"/>
        </w:rPr>
        <w:instrText xml:space="preserve"> REF Annex1 \h  \* MERGEFORMAT </w:instrText>
      </w:r>
      <w:r>
        <w:rPr>
          <w:u w:val="single"/>
        </w:rPr>
      </w:r>
      <w:r>
        <w:rPr>
          <w:u w:val="single"/>
        </w:rPr>
        <w:fldChar w:fldCharType="separate"/>
      </w:r>
      <w:r>
        <w:rPr>
          <w:u w:val="single"/>
        </w:rPr>
        <w:t>ANNEX 1</w:t>
      </w:r>
      <w:r>
        <w:rPr>
          <w:u w:val="single"/>
        </w:rPr>
        <w:fldChar w:fldCharType="end"/>
      </w:r>
      <w:r>
        <w:t xml:space="preserve"> hereto, accompanied by (a) a certificate in the form of </w:t>
      </w:r>
      <w:r>
        <w:rPr>
          <w:u w:val="single"/>
        </w:rPr>
        <w:fldChar w:fldCharType="begin"/>
      </w:r>
      <w:r>
        <w:rPr>
          <w:u w:val="single"/>
        </w:rPr>
        <w:instrText xml:space="preserve"> REF Annex2 \h  \* MERGEFORMAT </w:instrText>
      </w:r>
      <w:r>
        <w:rPr>
          <w:u w:val="single"/>
        </w:rPr>
      </w:r>
      <w:r>
        <w:rPr>
          <w:u w:val="single"/>
        </w:rPr>
        <w:fldChar w:fldCharType="separate"/>
      </w:r>
      <w:r>
        <w:rPr>
          <w:u w:val="single"/>
        </w:rPr>
        <w:t>ANNEX 2</w:t>
      </w:r>
      <w:r>
        <w:rPr>
          <w:u w:val="single"/>
        </w:rPr>
        <w:fldChar w:fldCharType="end"/>
      </w:r>
      <w:r>
        <w:t xml:space="preserve"> hereto, appropriately completed and signed by an authorized officer of Beneficiary, dated the date of presentation and (b) the original of the letter of credit and all amendments (or photocopy of the original for partial drawings) and presented at our office located at [</w:t>
      </w:r>
      <w:r>
        <w:rPr>
          <w:rFonts w:ascii="Calibri" w:hAnsi="Calibri" w:cs="Calibri"/>
        </w:rPr>
        <w:t>●</w:t>
      </w:r>
      <w:r>
        <w:t>], attention [</w:t>
      </w:r>
      <w:r>
        <w:rPr>
          <w:rFonts w:ascii="Calibri" w:hAnsi="Calibri" w:cs="Calibri"/>
        </w:rPr>
        <w:t>●</w:t>
      </w:r>
      <w:r>
        <w:t xml:space="preserve">] (or at any other office which may be designated by us by written notice delivered to you).  A presentation under this letter of credit may be </w:t>
      </w:r>
      <w:r>
        <w:lastRenderedPageBreak/>
        <w:t>made only on a Day, and during hours, in which such office is open for business (a “</w:t>
      </w:r>
      <w:r>
        <w:rPr>
          <w:u w:val="single"/>
        </w:rPr>
        <w:t>Business Day</w:t>
      </w:r>
      <w:r>
        <w:t xml:space="preserve">”).  If we receive your presentation at such office on any Business Day, all in conformity with the terms and conditions of this letter of credit, we will unconditionally honor the same by making payment in accordance with your payment instructions on or before the third succeeding Business Day after such presentation.  Partial and multiple drawing of funds shall be permitted under this Letter of Credit, and this Letter of Credit shall remain in full force and effect with respect to any continuing balance; </w:t>
      </w:r>
      <w:r>
        <w:rPr>
          <w:i/>
        </w:rPr>
        <w:t>provided</w:t>
      </w:r>
      <w:r>
        <w:t xml:space="preserve">, </w:t>
      </w:r>
      <w:r>
        <w:rPr>
          <w:i/>
        </w:rPr>
        <w:t>that</w:t>
      </w:r>
      <w:r>
        <w:t xml:space="preserve"> the Available Amount shall be reduced by the amount of each such drawing.</w:t>
      </w:r>
    </w:p>
    <w:p>
      <w:pPr>
        <w:pStyle w:val="APPENDIXoutlinedc4"/>
      </w:pPr>
      <w:r>
        <w:t xml:space="preserve">This letter of credit shall terminate upon the earliest to occur of (i) our receipt of a notice in the form of </w:t>
      </w:r>
      <w:r>
        <w:rPr>
          <w:u w:val="single"/>
        </w:rPr>
        <w:fldChar w:fldCharType="begin"/>
      </w:r>
      <w:r>
        <w:rPr>
          <w:u w:val="single"/>
        </w:rPr>
        <w:instrText xml:space="preserve"> REF Annex3 \h  \* MERGEFORMAT </w:instrText>
      </w:r>
      <w:r>
        <w:rPr>
          <w:u w:val="single"/>
        </w:rPr>
      </w:r>
      <w:r>
        <w:rPr>
          <w:u w:val="single"/>
        </w:rPr>
        <w:fldChar w:fldCharType="separate"/>
      </w:r>
      <w:r>
        <w:rPr>
          <w:u w:val="single"/>
        </w:rPr>
        <w:t>ANNEX 3</w:t>
      </w:r>
      <w:r>
        <w:rPr>
          <w:u w:val="single"/>
        </w:rPr>
        <w:fldChar w:fldCharType="end"/>
      </w:r>
      <w:r>
        <w:t xml:space="preserve"> hereto signed by an authorized officer of Beneficiary, accompanied by this letter of credit for cancellation, (ii) our close of business at our aforesaid office on the Expiration Date, or if the Expiration Date is not a Business Day, then on the preceding Business Day.  This letter of credit shall be surrendered to us by you upon the earlier of presentation or expiration.</w:t>
      </w:r>
    </w:p>
    <w:p>
      <w:pPr>
        <w:pStyle w:val="APPENDIXoutlinedc4"/>
      </w:pPr>
      <w:bookmarkStart w:id="201" w:name="_Ref145762844"/>
      <w:r>
        <w:t>It is a condition of the letter of credit that it shall be deemed to be automatically extended without amendment for additional one-year periods until [</w:t>
      </w:r>
      <w:r>
        <w:rPr>
          <w:rFonts w:ascii="Calibri" w:hAnsi="Calibri" w:cs="Calibri"/>
        </w:rPr>
        <w:t>●</w:t>
      </w:r>
      <w:r>
        <w:t>] (the “</w:t>
      </w:r>
      <w:r>
        <w:rPr>
          <w:u w:val="single"/>
        </w:rPr>
        <w:t>Final Expiration Date</w:t>
      </w:r>
      <w:r>
        <w:t>”), unless at least sixty (60) Days prior to the Expiration Date we send you notice by registered mail, return receipt requested or courier service or hand delivery at the above address that we hereby elect not to consider this letter of credit extended for such additional period.</w:t>
      </w:r>
      <w:bookmarkEnd w:id="201"/>
    </w:p>
    <w:p>
      <w:pPr>
        <w:pStyle w:val="APPENDIXoutlinedc4"/>
      </w:pPr>
      <w:r>
        <w:t>This letter of credit shall be governed by, and construed in accordance with, the terms of the International Standby Practices, ISP 98, International Chamber of Commerce Publication No. 590 (</w:t>
      </w:r>
      <w:proofErr w:type="gramStart"/>
      <w:r>
        <w:t>the ”</w:t>
      </w:r>
      <w:proofErr w:type="gramEnd"/>
      <w:r>
        <w:rPr>
          <w:u w:val="single"/>
        </w:rPr>
        <w:t>ISP</w:t>
      </w:r>
      <w:r>
        <w:t>”), to the extent that such terms are not inconsistent with this letter of credit.  As to matters not governed by the ISP, this letter of credit shall be governed by, and construed in accordance with, the laws of the State of New York, including, without limitation, the Uniform Commercial Code as in effect in the State of New York.</w:t>
      </w:r>
    </w:p>
    <w:p>
      <w:pPr>
        <w:pStyle w:val="APPENDIXoutlinedc4"/>
      </w:pPr>
      <w:r>
        <w:t xml:space="preserve">This letter of credit sets forth in full our undertaking, and such undertaking shall not in any way be modified, amended, amplified or limited by reference to any document, instrument or agreement referred to herein, except for </w:t>
      </w:r>
      <w:r>
        <w:rPr>
          <w:u w:val="single"/>
        </w:rPr>
        <w:t>Annexes </w:t>
      </w:r>
      <w:r>
        <w:rPr>
          <w:u w:val="single"/>
        </w:rPr>
        <w:fldChar w:fldCharType="begin"/>
      </w:r>
      <w:r>
        <w:rPr>
          <w:u w:val="single"/>
        </w:rPr>
        <w:instrText xml:space="preserve"> REF Annex1 \h  \* MERGEFORMAT </w:instrText>
      </w:r>
      <w:r>
        <w:rPr>
          <w:u w:val="single"/>
        </w:rPr>
      </w:r>
      <w:r>
        <w:rPr>
          <w:u w:val="single"/>
        </w:rPr>
        <w:fldChar w:fldCharType="separate"/>
      </w:r>
      <w:r>
        <w:rPr>
          <w:u w:val="single"/>
        </w:rPr>
        <w:t>ANNEX 1</w:t>
      </w:r>
      <w:r>
        <w:rPr>
          <w:u w:val="single"/>
        </w:rPr>
        <w:fldChar w:fldCharType="end"/>
      </w:r>
      <w:r>
        <w:t xml:space="preserve">, </w:t>
      </w:r>
      <w:r>
        <w:rPr>
          <w:u w:val="single"/>
        </w:rPr>
        <w:fldChar w:fldCharType="begin"/>
      </w:r>
      <w:r>
        <w:rPr>
          <w:u w:val="single"/>
        </w:rPr>
        <w:instrText xml:space="preserve"> REF Annex2 \h  \* MERGEFORMAT </w:instrText>
      </w:r>
      <w:r>
        <w:rPr>
          <w:u w:val="single"/>
        </w:rPr>
      </w:r>
      <w:r>
        <w:rPr>
          <w:u w:val="single"/>
        </w:rPr>
        <w:fldChar w:fldCharType="separate"/>
      </w:r>
      <w:r>
        <w:rPr>
          <w:u w:val="single"/>
        </w:rPr>
        <w:t>ANNEX 2</w:t>
      </w:r>
      <w:r>
        <w:rPr>
          <w:u w:val="single"/>
        </w:rPr>
        <w:fldChar w:fldCharType="end"/>
      </w:r>
      <w:r>
        <w:t>, and </w:t>
      </w:r>
      <w:r>
        <w:rPr>
          <w:u w:val="single"/>
        </w:rPr>
        <w:fldChar w:fldCharType="begin"/>
      </w:r>
      <w:r>
        <w:rPr>
          <w:u w:val="single"/>
        </w:rPr>
        <w:instrText xml:space="preserve"> REF Annex3 \h  \* MERGEFORMAT </w:instrText>
      </w:r>
      <w:r>
        <w:rPr>
          <w:u w:val="single"/>
        </w:rPr>
      </w:r>
      <w:r>
        <w:rPr>
          <w:u w:val="single"/>
        </w:rPr>
        <w:fldChar w:fldCharType="separate"/>
      </w:r>
      <w:r>
        <w:rPr>
          <w:u w:val="single"/>
        </w:rPr>
        <w:t>ANNEX 3</w:t>
      </w:r>
      <w:r>
        <w:rPr>
          <w:u w:val="single"/>
        </w:rPr>
        <w:fldChar w:fldCharType="end"/>
      </w:r>
      <w:r>
        <w:t xml:space="preserve"> hereto and the notices referred to herein; and any such reference shall not be deemed to incorporate herein by reference any document, instrument or agreement except as otherwise provided in this paragraph 5.</w:t>
      </w:r>
    </w:p>
    <w:p>
      <w:pPr>
        <w:pStyle w:val="APPENDIXoutlinedc4"/>
      </w:pPr>
      <w:r>
        <w:t>Communications with respect to this letter of credit shall be in writing and shall be addressed to us at the address referred to in paragraph 1 above, and shall specifically refer to this letter of credit no. [</w:t>
      </w:r>
      <w:r>
        <w:rPr>
          <w:rFonts w:ascii="Calibri" w:hAnsi="Calibri" w:cs="Calibri"/>
        </w:rPr>
        <w:t>●</w:t>
      </w:r>
      <w:r>
        <w:t>].</w:t>
      </w:r>
    </w:p>
    <w:p>
      <w:pPr>
        <w:ind w:left="4320" w:firstLine="0"/>
      </w:pPr>
      <w:r>
        <w:t>Very truly yours,</w:t>
      </w:r>
    </w:p>
    <w:p>
      <w:pPr>
        <w:ind w:left="4320" w:firstLine="0"/>
      </w:pPr>
      <w:r>
        <w:t>[LOC Issuer]</w:t>
      </w:r>
    </w:p>
    <w:p>
      <w:pPr>
        <w:tabs>
          <w:tab w:val="right" w:pos="7920"/>
        </w:tabs>
        <w:spacing w:before="600" w:after="0"/>
        <w:ind w:left="4320" w:firstLine="0"/>
      </w:pPr>
      <w:r>
        <w:rPr>
          <w:u w:val="single"/>
        </w:rPr>
        <w:tab/>
      </w:r>
      <w:r>
        <w:br/>
        <w:t>Authorized signature</w:t>
      </w:r>
      <w:r>
        <w:br w:type="page"/>
      </w:r>
    </w:p>
    <w:p>
      <w:pPr>
        <w:ind w:firstLine="0"/>
        <w:jc w:val="center"/>
        <w:rPr>
          <w:b/>
        </w:rPr>
      </w:pPr>
      <w:bookmarkStart w:id="202" w:name="Annex1"/>
      <w:r>
        <w:rPr>
          <w:b/>
        </w:rPr>
        <w:lastRenderedPageBreak/>
        <w:t>ANNEX 1</w:t>
      </w:r>
      <w:bookmarkEnd w:id="202"/>
    </w:p>
    <w:p>
      <w:pPr>
        <w:spacing w:after="600"/>
        <w:ind w:firstLine="0"/>
        <w:jc w:val="center"/>
        <w:rPr>
          <w:b/>
        </w:rPr>
      </w:pPr>
      <w:r>
        <w:rPr>
          <w:b/>
        </w:rPr>
        <w:t>TO LETTER OF CREDIT NO. [</w:t>
      </w:r>
      <w:r>
        <w:rPr>
          <w:rFonts w:ascii="Calibri" w:hAnsi="Calibri" w:cs="Calibri"/>
          <w:b/>
        </w:rPr>
        <w:t>●</w:t>
      </w:r>
      <w:r>
        <w:rPr>
          <w:b/>
        </w:rPr>
        <w:t>]</w:t>
      </w:r>
    </w:p>
    <w:p>
      <w:pPr>
        <w:spacing w:after="600"/>
        <w:ind w:firstLine="0"/>
        <w:jc w:val="center"/>
        <w:rPr>
          <w:b/>
        </w:rPr>
      </w:pPr>
      <w:r>
        <w:rPr>
          <w:b/>
        </w:rPr>
        <w:t>Draft under Letter of Credit No. [</w:t>
      </w:r>
      <w:r>
        <w:rPr>
          <w:rFonts w:ascii="Calibri" w:hAnsi="Calibri" w:cs="Calibri"/>
          <w:b/>
        </w:rPr>
        <w:t>●</w:t>
      </w:r>
      <w:r>
        <w:rPr>
          <w:b/>
        </w:rPr>
        <w:t>]</w:t>
      </w:r>
    </w:p>
    <w:p>
      <w:pPr>
        <w:spacing w:after="600"/>
        <w:ind w:firstLine="0"/>
        <w:jc w:val="center"/>
        <w:rPr>
          <w:b/>
        </w:rPr>
      </w:pPr>
      <w:r>
        <w:rPr>
          <w:b/>
        </w:rPr>
        <w:t>[Month, Day, Year]</w:t>
      </w:r>
    </w:p>
    <w:p>
      <w:r>
        <w:t>On [third Business Day next succeeding date of presentation]</w:t>
      </w:r>
    </w:p>
    <w:p>
      <w:pPr>
        <w:tabs>
          <w:tab w:val="left" w:pos="4320"/>
        </w:tabs>
        <w:ind w:left="1440" w:hanging="720"/>
        <w:jc w:val="left"/>
      </w:pPr>
      <w:r>
        <w:t>Pay to</w:t>
      </w:r>
      <w:r>
        <w:tab/>
      </w:r>
      <w:r>
        <w:rPr>
          <w:b/>
        </w:rPr>
        <w:t>[</w:t>
      </w:r>
      <w:r>
        <w:rPr>
          <w:rFonts w:ascii="Calibri" w:hAnsi="Calibri" w:cs="Calibri"/>
          <w:b/>
        </w:rPr>
        <w:t>●</w:t>
      </w:r>
      <w:r>
        <w:rPr>
          <w:b/>
        </w:rPr>
        <w:t>]</w:t>
      </w:r>
      <w:r>
        <w:tab/>
      </w:r>
      <w:r>
        <w:rPr>
          <w:b/>
        </w:rPr>
        <w:t>[</w:t>
      </w:r>
      <w:r>
        <w:rPr>
          <w:rFonts w:ascii="Calibri" w:hAnsi="Calibri" w:cs="Calibri"/>
          <w:b/>
        </w:rPr>
        <w:t>●</w:t>
      </w:r>
      <w:r>
        <w:rPr>
          <w:b/>
        </w:rPr>
        <w:t xml:space="preserve">] </w:t>
      </w:r>
      <w:r>
        <w:t>U.S. $</w:t>
      </w:r>
      <w:r>
        <w:rPr>
          <w:b/>
        </w:rPr>
        <w:t>[</w:t>
      </w:r>
      <w:r>
        <w:rPr>
          <w:rFonts w:ascii="Calibri" w:hAnsi="Calibri" w:cs="Calibri"/>
          <w:b/>
        </w:rPr>
        <w:t>●</w:t>
      </w:r>
      <w:r>
        <w:rPr>
          <w:b/>
        </w:rPr>
        <w:t>]</w:t>
      </w:r>
      <w:r>
        <w:t xml:space="preserve"> [not to exceed the Available Amount]</w:t>
      </w:r>
      <w:r>
        <w:br/>
        <w:t>[Address 1]</w:t>
      </w:r>
      <w:r>
        <w:br/>
        <w:t>[Address 2]</w:t>
      </w:r>
    </w:p>
    <w:p>
      <w:pPr>
        <w:tabs>
          <w:tab w:val="left" w:pos="4320"/>
        </w:tabs>
        <w:ind w:left="1440" w:hanging="720"/>
        <w:jc w:val="left"/>
      </w:pPr>
      <w:r>
        <w:t>[insert any wire instructions]</w:t>
      </w:r>
    </w:p>
    <w:p>
      <w:r>
        <w:t>For value received and charge to account of Letter of Credit No. </w:t>
      </w:r>
      <w:r>
        <w:rPr>
          <w:b/>
        </w:rPr>
        <w:t>[</w:t>
      </w:r>
      <w:r>
        <w:rPr>
          <w:rFonts w:ascii="Calibri" w:hAnsi="Calibri" w:cs="Calibri"/>
          <w:b/>
        </w:rPr>
        <w:t>●</w:t>
      </w:r>
      <w:r>
        <w:rPr>
          <w:b/>
        </w:rPr>
        <w:t>]</w:t>
      </w:r>
      <w:r>
        <w:t>.</w:t>
      </w:r>
    </w:p>
    <w:p>
      <w:pPr>
        <w:tabs>
          <w:tab w:val="right" w:pos="7920"/>
        </w:tabs>
        <w:spacing w:before="600" w:after="0"/>
        <w:ind w:left="4320" w:firstLine="0"/>
      </w:pPr>
      <w:r>
        <w:rPr>
          <w:u w:val="single"/>
        </w:rPr>
        <w:tab/>
      </w:r>
      <w:r>
        <w:br/>
        <w:t>Authorized signature</w:t>
      </w:r>
    </w:p>
    <w:p>
      <w:pPr>
        <w:tabs>
          <w:tab w:val="right" w:pos="7920"/>
        </w:tabs>
        <w:spacing w:before="600" w:after="0"/>
        <w:ind w:left="4320" w:firstLine="0"/>
      </w:pPr>
      <w:r>
        <w:rPr>
          <w:u w:val="single"/>
        </w:rPr>
        <w:tab/>
      </w:r>
      <w:r>
        <w:br/>
        <w:t>Title</w:t>
      </w:r>
      <w:r>
        <w:br w:type="page"/>
      </w:r>
    </w:p>
    <w:p>
      <w:pPr>
        <w:ind w:firstLine="0"/>
        <w:jc w:val="center"/>
        <w:rPr>
          <w:b/>
        </w:rPr>
      </w:pPr>
      <w:bookmarkStart w:id="203" w:name="Annex2"/>
      <w:r>
        <w:rPr>
          <w:b/>
        </w:rPr>
        <w:lastRenderedPageBreak/>
        <w:t>ANNEX 2</w:t>
      </w:r>
      <w:bookmarkEnd w:id="203"/>
    </w:p>
    <w:p>
      <w:pPr>
        <w:spacing w:after="600"/>
        <w:ind w:firstLine="0"/>
        <w:jc w:val="center"/>
        <w:rPr>
          <w:b/>
        </w:rPr>
      </w:pPr>
      <w:r>
        <w:rPr>
          <w:b/>
        </w:rPr>
        <w:t>TO LETTER OF CREDIT NO. [</w:t>
      </w:r>
      <w:r>
        <w:rPr>
          <w:rFonts w:ascii="Calibri" w:hAnsi="Calibri" w:cs="Calibri"/>
          <w:b/>
        </w:rPr>
        <w:t>●</w:t>
      </w:r>
      <w:r>
        <w:rPr>
          <w:b/>
        </w:rPr>
        <w:t>]</w:t>
      </w:r>
    </w:p>
    <w:p>
      <w:pPr>
        <w:spacing w:after="600"/>
        <w:ind w:firstLine="0"/>
        <w:jc w:val="center"/>
        <w:rPr>
          <w:b/>
        </w:rPr>
      </w:pPr>
      <w:r>
        <w:rPr>
          <w:b/>
        </w:rPr>
        <w:t>Drawing under Letter of Credit No. [</w:t>
      </w:r>
      <w:r>
        <w:rPr>
          <w:rFonts w:ascii="Calibri" w:hAnsi="Calibri" w:cs="Calibri"/>
          <w:b/>
        </w:rPr>
        <w:t>●</w:t>
      </w:r>
      <w:r>
        <w:rPr>
          <w:b/>
        </w:rPr>
        <w:t>]</w:t>
      </w:r>
    </w:p>
    <w:p>
      <w:r>
        <w:t>The undersigned, a duly authorized officer of Puget Sound Energy, Inc., a Washington corporation, located in Bellevue, Washington (“</w:t>
      </w:r>
      <w:r>
        <w:rPr>
          <w:u w:val="single"/>
        </w:rPr>
        <w:t>Beneficiary</w:t>
      </w:r>
      <w:r>
        <w:t>”), hereby certifies on behalf of Beneficiary with reference to irrevocable standby Letter of Credit No. </w:t>
      </w:r>
      <w:r>
        <w:rPr>
          <w:b/>
        </w:rPr>
        <w:t>[</w:t>
      </w:r>
      <w:r>
        <w:rPr>
          <w:rFonts w:ascii="Calibri" w:hAnsi="Calibri" w:cs="Calibri"/>
          <w:b/>
        </w:rPr>
        <w:t>●</w:t>
      </w:r>
      <w:r>
        <w:rPr>
          <w:b/>
        </w:rPr>
        <w:t>]</w:t>
      </w:r>
      <w:r>
        <w:t xml:space="preserve"> (the “</w:t>
      </w:r>
      <w:r>
        <w:rPr>
          <w:u w:val="single"/>
        </w:rPr>
        <w:t>Letter of Credit</w:t>
      </w:r>
      <w:r>
        <w:t xml:space="preserve">”) issued for the account of </w:t>
      </w:r>
      <w:r>
        <w:rPr>
          <w:b/>
        </w:rPr>
        <w:t>[</w:t>
      </w:r>
      <w:r>
        <w:rPr>
          <w:rFonts w:ascii="Calibri" w:hAnsi="Calibri" w:cs="Calibri"/>
          <w:b/>
        </w:rPr>
        <w:t>●</w:t>
      </w:r>
      <w:r>
        <w:rPr>
          <w:b/>
        </w:rPr>
        <w:t>]</w:t>
      </w:r>
      <w:r>
        <w:t>, that:</w:t>
      </w:r>
    </w:p>
    <w:p>
      <w:pPr>
        <w:pStyle w:val="Decimaloutlinedc22"/>
      </w:pPr>
      <w:r>
        <w:t xml:space="preserve">[pursuant to that certain Distributed Energy Resource Power Purchase Agreement between Beneficiary and [account party] dated as of </w:t>
      </w:r>
      <w:r>
        <w:rPr>
          <w:b/>
        </w:rPr>
        <w:t>[</w:t>
      </w:r>
      <w:r>
        <w:rPr>
          <w:rFonts w:ascii="Calibri" w:hAnsi="Calibri" w:cs="Calibri"/>
          <w:b/>
        </w:rPr>
        <w:t>●</w:t>
      </w:r>
      <w:r>
        <w:rPr>
          <w:b/>
        </w:rPr>
        <w:t>]</w:t>
      </w:r>
      <w:r>
        <w:t xml:space="preserve"> (the “</w:t>
      </w:r>
      <w:r>
        <w:rPr>
          <w:u w:val="single"/>
        </w:rPr>
        <w:t>PPA</w:t>
      </w:r>
      <w:r>
        <w:t xml:space="preserve">”), the Beneficiary is entitled to payment of an amount equal to </w:t>
      </w:r>
      <w:r>
        <w:rPr>
          <w:b/>
        </w:rPr>
        <w:t>[</w:t>
      </w:r>
      <w:r>
        <w:rPr>
          <w:rFonts w:ascii="Calibri" w:hAnsi="Calibri" w:cs="Calibri"/>
          <w:b/>
        </w:rPr>
        <w:t>●</w:t>
      </w:r>
      <w:r>
        <w:rPr>
          <w:b/>
        </w:rPr>
        <w:t>]</w:t>
      </w:r>
      <w:r>
        <w:t xml:space="preserve"> ($</w:t>
      </w:r>
      <w:r>
        <w:rPr>
          <w:b/>
        </w:rPr>
        <w:t>[</w:t>
      </w:r>
      <w:r>
        <w:rPr>
          <w:rFonts w:ascii="Calibri" w:hAnsi="Calibri" w:cs="Calibri"/>
          <w:b/>
        </w:rPr>
        <w:t>●</w:t>
      </w:r>
      <w:r>
        <w:rPr>
          <w:b/>
        </w:rPr>
        <w:t>]</w:t>
      </w:r>
      <w:r>
        <w:t>) from this Letter of Credit;]</w:t>
      </w:r>
    </w:p>
    <w:p>
      <w:pPr>
        <w:ind w:left="1440" w:right="630" w:firstLine="0"/>
      </w:pPr>
      <w:r>
        <w:t>--or--</w:t>
      </w:r>
    </w:p>
    <w:p>
      <w:pPr>
        <w:pStyle w:val="Decimaloutlinedc23"/>
      </w:pPr>
      <w:r>
        <w:t>Beneficiary has received notice from the Issuing Bank pursuant to Section </w:t>
      </w:r>
      <w:r>
        <w:fldChar w:fldCharType="begin"/>
      </w:r>
      <w:r>
        <w:instrText xml:space="preserve"> REF _Ref145762844 \n \h </w:instrText>
      </w:r>
      <w:r>
        <w:fldChar w:fldCharType="separate"/>
      </w:r>
      <w:r>
        <w:t>3</w:t>
      </w:r>
      <w:r>
        <w:fldChar w:fldCharType="end"/>
      </w:r>
      <w:r>
        <w:t xml:space="preserve"> of the Letter of Credit, and (ii) the Letter of Credit will expire in fewer than thirty (30) Days from the date hereof.  As such, as of the date hereof Beneficiary is entitled to draw under the Letter of Credit as specified in the accompanying sight draft.] </w:t>
      </w:r>
    </w:p>
    <w:p>
      <w:pPr>
        <w:pStyle w:val="Decimaloutlinedc22"/>
      </w:pPr>
      <w:r>
        <w:t>by presenting this certificate and the accompanying sight draft, Beneficiary is requesting that payment in the amount of $</w:t>
      </w:r>
      <w:r>
        <w:rPr>
          <w:b/>
        </w:rPr>
        <w:t>[</w:t>
      </w:r>
      <w:r>
        <w:rPr>
          <w:rFonts w:ascii="Calibri" w:hAnsi="Calibri" w:cs="Calibri"/>
          <w:b/>
        </w:rPr>
        <w:t>●</w:t>
      </w:r>
      <w:r>
        <w:rPr>
          <w:b/>
        </w:rPr>
        <w:t>]</w:t>
      </w:r>
      <w:r>
        <w:t>, as specified on said draft, be made under the Letter of Credit by wire transfer or deposit of funds into the account specified on said draft;</w:t>
      </w:r>
    </w:p>
    <w:p>
      <w:pPr>
        <w:pStyle w:val="Decimaloutlinedc22"/>
      </w:pPr>
      <w:r>
        <w:t>the amount specified on the sight draft accompanying this certificate does not exceed the Available Amount to which Beneficiary is entitled to draft under said [agreement] as of the date hereof.</w:t>
      </w:r>
    </w:p>
    <w:p>
      <w:r>
        <w:t>In witness whereof, Beneficiary has caused this certificate to be duly executed and delivered by its duly authorized officer as of the date and year written below.</w:t>
      </w:r>
    </w:p>
    <w:p>
      <w:pPr>
        <w:tabs>
          <w:tab w:val="right" w:pos="7920"/>
        </w:tabs>
        <w:spacing w:before="600" w:after="0"/>
        <w:ind w:left="4320" w:firstLine="0"/>
      </w:pPr>
      <w:r>
        <w:rPr>
          <w:u w:val="single"/>
        </w:rPr>
        <w:tab/>
      </w:r>
      <w:r>
        <w:br/>
        <w:t>Authorized signature</w:t>
      </w:r>
    </w:p>
    <w:p>
      <w:pPr>
        <w:tabs>
          <w:tab w:val="right" w:pos="7920"/>
        </w:tabs>
        <w:spacing w:before="360" w:after="0"/>
        <w:ind w:left="4320" w:firstLine="0"/>
      </w:pPr>
      <w:r>
        <w:t>Title: </w:t>
      </w:r>
      <w:r>
        <w:rPr>
          <w:u w:val="single"/>
        </w:rPr>
        <w:tab/>
      </w:r>
    </w:p>
    <w:p>
      <w:pPr>
        <w:tabs>
          <w:tab w:val="right" w:pos="7920"/>
        </w:tabs>
        <w:spacing w:before="360" w:after="0"/>
        <w:ind w:left="4320" w:firstLine="0"/>
      </w:pPr>
      <w:r>
        <w:t>Date: </w:t>
      </w:r>
      <w:r>
        <w:rPr>
          <w:u w:val="single"/>
        </w:rPr>
        <w:tab/>
      </w:r>
      <w:r>
        <w:br w:type="page"/>
      </w:r>
    </w:p>
    <w:p>
      <w:pPr>
        <w:ind w:firstLine="0"/>
        <w:jc w:val="center"/>
        <w:rPr>
          <w:b/>
        </w:rPr>
      </w:pPr>
      <w:bookmarkStart w:id="204" w:name="Annex3"/>
      <w:r>
        <w:rPr>
          <w:b/>
        </w:rPr>
        <w:lastRenderedPageBreak/>
        <w:t>ANNEX 3</w:t>
      </w:r>
      <w:bookmarkEnd w:id="204"/>
    </w:p>
    <w:p>
      <w:pPr>
        <w:spacing w:after="600"/>
        <w:ind w:firstLine="0"/>
        <w:jc w:val="center"/>
        <w:rPr>
          <w:b/>
        </w:rPr>
      </w:pPr>
      <w:r>
        <w:rPr>
          <w:b/>
        </w:rPr>
        <w:t>TO LETTER OF CREDIT NO. [</w:t>
      </w:r>
      <w:r>
        <w:rPr>
          <w:rFonts w:ascii="Calibri" w:hAnsi="Calibri" w:cs="Calibri"/>
          <w:b/>
        </w:rPr>
        <w:t>●</w:t>
      </w:r>
      <w:r>
        <w:rPr>
          <w:b/>
        </w:rPr>
        <w:t>]</w:t>
      </w:r>
    </w:p>
    <w:p>
      <w:pPr>
        <w:spacing w:after="600"/>
        <w:ind w:firstLine="0"/>
        <w:jc w:val="center"/>
        <w:rPr>
          <w:b/>
        </w:rPr>
      </w:pPr>
      <w:r>
        <w:rPr>
          <w:b/>
        </w:rPr>
        <w:t>Notice of surrender of Letter of Credit No. [</w:t>
      </w:r>
      <w:r>
        <w:rPr>
          <w:rFonts w:ascii="Calibri" w:hAnsi="Calibri" w:cs="Calibri"/>
          <w:b/>
        </w:rPr>
        <w:t>●</w:t>
      </w:r>
      <w:r>
        <w:rPr>
          <w:b/>
        </w:rPr>
        <w:t>]</w:t>
      </w:r>
    </w:p>
    <w:p>
      <w:pPr>
        <w:spacing w:after="360"/>
        <w:ind w:left="1440" w:hanging="1440"/>
        <w:jc w:val="left"/>
      </w:pPr>
      <w:r>
        <w:t>Date:</w:t>
      </w:r>
      <w:r>
        <w:tab/>
        <w:t>________________________</w:t>
      </w:r>
    </w:p>
    <w:p>
      <w:pPr>
        <w:spacing w:after="360"/>
        <w:ind w:firstLine="0"/>
        <w:jc w:val="left"/>
      </w:pPr>
      <w:r>
        <w:t>[</w:t>
      </w:r>
      <w:r>
        <w:rPr>
          <w:rFonts w:ascii="Calibri" w:hAnsi="Calibri" w:cs="Calibri"/>
        </w:rPr>
        <w:t>●</w:t>
      </w:r>
      <w:r>
        <w:t>]</w:t>
      </w:r>
      <w:r>
        <w:br/>
        <w:t xml:space="preserve">Attn: Letter of Credit Department </w:t>
      </w:r>
      <w:r>
        <w:br/>
        <w:t>[</w:t>
      </w:r>
      <w:r>
        <w:rPr>
          <w:rFonts w:ascii="Calibri" w:hAnsi="Calibri" w:cs="Calibri"/>
        </w:rPr>
        <w:t>●</w:t>
      </w:r>
      <w:r>
        <w:t>]</w:t>
      </w:r>
      <w:r>
        <w:br/>
        <w:t>[</w:t>
      </w:r>
      <w:r>
        <w:rPr>
          <w:rFonts w:ascii="Calibri" w:hAnsi="Calibri" w:cs="Calibri"/>
        </w:rPr>
        <w:t>●</w:t>
      </w:r>
      <w:r>
        <w:t>]</w:t>
      </w:r>
    </w:p>
    <w:p>
      <w:pPr>
        <w:spacing w:after="360"/>
        <w:ind w:left="720" w:hanging="720"/>
        <w:jc w:val="left"/>
        <w:rPr>
          <w:b/>
        </w:rPr>
      </w:pPr>
      <w:r>
        <w:rPr>
          <w:b/>
        </w:rPr>
        <w:t>Re:</w:t>
      </w:r>
      <w:r>
        <w:rPr>
          <w:b/>
        </w:rPr>
        <w:tab/>
        <w:t>Letter of Credit No. [</w:t>
      </w:r>
      <w:r>
        <w:rPr>
          <w:rFonts w:ascii="Calibri" w:hAnsi="Calibri" w:cs="Calibri"/>
          <w:b/>
        </w:rPr>
        <w:t>●</w:t>
      </w:r>
      <w:r>
        <w:rPr>
          <w:b/>
        </w:rPr>
        <w:t>] issued for the account of [account party]</w:t>
      </w:r>
    </w:p>
    <w:p>
      <w:pPr>
        <w:ind w:firstLine="0"/>
      </w:pPr>
      <w:r>
        <w:t>Ladies and Gentlemen:</w:t>
      </w:r>
    </w:p>
    <w:p>
      <w:r>
        <w:t>We refer to your above-mentioned irrevocable standby Letter of Credit (the “</w:t>
      </w:r>
      <w:r>
        <w:rPr>
          <w:u w:val="single"/>
        </w:rPr>
        <w:t>Letter of Credit</w:t>
      </w:r>
      <w:r>
        <w:t>”).  The undersigned hereby surrenders the Letter of Credit to you for cancellation as of the date hereof.  No payment is demanded of you under this Letter of Credit in connection with this surrender.</w:t>
      </w:r>
    </w:p>
    <w:p>
      <w:pPr>
        <w:ind w:left="4320" w:firstLine="0"/>
      </w:pPr>
      <w:r>
        <w:t>Very truly yours,</w:t>
      </w:r>
    </w:p>
    <w:p>
      <w:pPr>
        <w:tabs>
          <w:tab w:val="right" w:pos="7920"/>
        </w:tabs>
        <w:spacing w:before="600" w:after="0"/>
        <w:ind w:left="4320" w:firstLine="0"/>
      </w:pPr>
      <w:r>
        <w:rPr>
          <w:u w:val="single"/>
        </w:rPr>
        <w:tab/>
      </w:r>
      <w:r>
        <w:br/>
        <w:t>Authorized signature</w:t>
      </w:r>
    </w:p>
    <w:p>
      <w:pPr>
        <w:tabs>
          <w:tab w:val="right" w:pos="7920"/>
        </w:tabs>
        <w:spacing w:before="600" w:after="0"/>
        <w:ind w:left="4320" w:firstLine="0"/>
      </w:pPr>
      <w:r>
        <w:rPr>
          <w:u w:val="single"/>
        </w:rPr>
        <w:tab/>
      </w:r>
      <w:r>
        <w:br/>
        <w:t>Title</w:t>
      </w:r>
    </w:p>
    <w:p/>
    <w:p/>
    <w:p/>
    <w:p/>
    <w:p>
      <w:pPr>
        <w:sectPr>
          <w:footerReference w:type="default" r:id="rId25"/>
          <w:pgSz w:w="12240" w:h="15840"/>
          <w:pgMar w:top="1440" w:right="1440" w:bottom="1440" w:left="1440" w:header="720" w:footer="720" w:gutter="0"/>
          <w:pgNumType w:start="1"/>
          <w:cols w:space="720"/>
          <w:docGrid w:linePitch="360"/>
        </w:sectPr>
      </w:pPr>
    </w:p>
    <w:p>
      <w:pPr>
        <w:pStyle w:val="APPENDIXoutlinedc1"/>
      </w:pPr>
      <w:r>
        <w:lastRenderedPageBreak/>
        <w:br/>
      </w:r>
      <w:bookmarkStart w:id="205" w:name="_docxtools_723"/>
      <w:r>
        <w:br/>
      </w:r>
      <w:bookmarkStart w:id="206" w:name="_Toc166243871"/>
      <w:r>
        <w:t>PERFORMANCE GUARANTEE</w:t>
      </w:r>
      <w:bookmarkEnd w:id="206"/>
      <w:r>
        <w:t xml:space="preserve"> </w:t>
      </w:r>
      <w:bookmarkEnd w:id="205"/>
    </w:p>
    <w:p>
      <w:pPr>
        <w:spacing w:line="240" w:lineRule="auto"/>
        <w:rPr>
          <w:rFonts w:eastAsia="PMingLiU"/>
          <w:sz w:val="24"/>
          <w:szCs w:val="24"/>
        </w:rPr>
      </w:pPr>
      <w:r>
        <w:rPr>
          <w:rFonts w:eastAsia="PMingLiU"/>
          <w:sz w:val="24"/>
          <w:szCs w:val="24"/>
        </w:rPr>
        <w:t xml:space="preserve">Capitalized terms used in this </w:t>
      </w:r>
      <w:r>
        <w:rPr>
          <w:rFonts w:eastAsia="PMingLiU"/>
          <w:sz w:val="24"/>
          <w:szCs w:val="24"/>
          <w:u w:val="single"/>
        </w:rPr>
        <w:fldChar w:fldCharType="begin"/>
      </w:r>
      <w:r>
        <w:rPr>
          <w:rFonts w:eastAsia="PMingLiU"/>
          <w:sz w:val="24"/>
          <w:szCs w:val="24"/>
          <w:u w:val="single"/>
        </w:rPr>
        <w:instrText xml:space="preserve"> REF _docxtools_723 \w \h  </w:instrText>
      </w:r>
      <w:r>
        <w:rPr>
          <w:rFonts w:eastAsia="PMingLiU"/>
          <w:sz w:val="24"/>
          <w:szCs w:val="24"/>
          <w:u w:val="single"/>
        </w:rPr>
      </w:r>
      <w:r>
        <w:rPr>
          <w:rFonts w:eastAsia="PMingLiU"/>
          <w:sz w:val="24"/>
          <w:szCs w:val="24"/>
          <w:u w:val="single"/>
        </w:rPr>
        <w:fldChar w:fldCharType="separate"/>
      </w:r>
      <w:r>
        <w:rPr>
          <w:rFonts w:eastAsia="PMingLiU"/>
          <w:sz w:val="24"/>
          <w:szCs w:val="24"/>
          <w:u w:val="single"/>
        </w:rPr>
        <w:t>Appendix H</w:t>
      </w:r>
      <w:r>
        <w:rPr>
          <w:rFonts w:eastAsia="PMingLiU"/>
          <w:sz w:val="24"/>
          <w:szCs w:val="24"/>
          <w:u w:val="single"/>
        </w:rPr>
        <w:fldChar w:fldCharType="end"/>
      </w:r>
      <w:r>
        <w:rPr>
          <w:rFonts w:eastAsia="PMingLiU"/>
          <w:sz w:val="24"/>
          <w:szCs w:val="24"/>
        </w:rPr>
        <w:t xml:space="preserve"> and not defined in this Appendix will have the meaning assigned in the PPA.</w:t>
      </w:r>
    </w:p>
    <w:p>
      <w:pPr>
        <w:pStyle w:val="APPENDIXoutlinedc6"/>
      </w:pPr>
      <w:bookmarkStart w:id="207" w:name="_docxtools_725"/>
      <w:r>
        <w:t>Definitions.</w:t>
      </w:r>
      <w:bookmarkEnd w:id="207"/>
    </w:p>
    <w:p>
      <w:pPr>
        <w:spacing w:line="240" w:lineRule="auto"/>
        <w:rPr>
          <w:rFonts w:eastAsia="PMingLiU"/>
          <w:sz w:val="24"/>
          <w:szCs w:val="24"/>
        </w:rPr>
      </w:pPr>
      <w:r>
        <w:rPr>
          <w:rFonts w:eastAsia="PMingLiU"/>
          <w:sz w:val="24"/>
          <w:szCs w:val="24"/>
        </w:rPr>
        <w:t>“</w:t>
      </w:r>
      <w:r>
        <w:rPr>
          <w:rFonts w:eastAsia="PMingLiU"/>
          <w:sz w:val="24"/>
          <w:szCs w:val="24"/>
          <w:u w:val="single"/>
        </w:rPr>
        <w:t>Calculation Period</w:t>
      </w:r>
      <w:r>
        <w:rPr>
          <w:rFonts w:eastAsia="PMingLiU"/>
          <w:sz w:val="24"/>
          <w:szCs w:val="24"/>
        </w:rPr>
        <w:t xml:space="preserve">” means each two (2) consecutive Annual Periods commencing on the first Day of the first Annual Period.  </w:t>
      </w:r>
    </w:p>
    <w:p>
      <w:pPr>
        <w:spacing w:line="240" w:lineRule="auto"/>
        <w:rPr>
          <w:rFonts w:eastAsia="PMingLiU"/>
          <w:sz w:val="24"/>
          <w:szCs w:val="24"/>
        </w:rPr>
      </w:pPr>
      <w:r>
        <w:rPr>
          <w:rFonts w:eastAsia="PMingLiU"/>
          <w:sz w:val="24"/>
          <w:szCs w:val="24"/>
        </w:rPr>
        <w:t>“</w:t>
      </w:r>
      <w:r>
        <w:rPr>
          <w:rFonts w:eastAsia="PMingLiU"/>
          <w:sz w:val="24"/>
          <w:szCs w:val="24"/>
          <w:u w:val="single"/>
        </w:rPr>
        <w:t>Calculation Period Report</w:t>
      </w:r>
      <w:r>
        <w:rPr>
          <w:rFonts w:eastAsia="PMingLiU"/>
          <w:sz w:val="24"/>
          <w:szCs w:val="24"/>
        </w:rPr>
        <w:t>” is defined in Section </w:t>
      </w:r>
      <w:r>
        <w:rPr>
          <w:rFonts w:eastAsia="PMingLiU"/>
          <w:sz w:val="24"/>
          <w:szCs w:val="24"/>
        </w:rPr>
        <w:fldChar w:fldCharType="begin"/>
      </w:r>
      <w:r>
        <w:rPr>
          <w:rFonts w:eastAsia="PMingLiU"/>
          <w:sz w:val="24"/>
          <w:szCs w:val="24"/>
        </w:rPr>
        <w:instrText xml:space="preserve"> REF _docxtools_738 \w \h \t  </w:instrText>
      </w:r>
      <w:r>
        <w:rPr>
          <w:rFonts w:eastAsia="PMingLiU"/>
          <w:sz w:val="24"/>
          <w:szCs w:val="24"/>
        </w:rPr>
      </w:r>
      <w:r>
        <w:rPr>
          <w:rFonts w:eastAsia="PMingLiU"/>
          <w:sz w:val="24"/>
          <w:szCs w:val="24"/>
        </w:rPr>
        <w:fldChar w:fldCharType="separate"/>
      </w:r>
      <w:r>
        <w:rPr>
          <w:rFonts w:eastAsia="PMingLiU"/>
          <w:sz w:val="24"/>
          <w:szCs w:val="24"/>
        </w:rPr>
        <w:t>H2.2</w:t>
      </w:r>
      <w:r>
        <w:rPr>
          <w:rFonts w:eastAsia="PMingLiU"/>
          <w:sz w:val="24"/>
          <w:szCs w:val="24"/>
        </w:rPr>
        <w:fldChar w:fldCharType="end"/>
      </w:r>
      <w:r>
        <w:rPr>
          <w:rFonts w:eastAsia="PMingLiU"/>
          <w:sz w:val="24"/>
          <w:szCs w:val="24"/>
        </w:rPr>
        <w:t xml:space="preserve"> of this Appendix.</w:t>
      </w:r>
    </w:p>
    <w:p>
      <w:pPr>
        <w:spacing w:line="240" w:lineRule="auto"/>
        <w:rPr>
          <w:rFonts w:eastAsia="PMingLiU"/>
          <w:sz w:val="24"/>
          <w:szCs w:val="24"/>
        </w:rPr>
      </w:pPr>
      <w:r>
        <w:rPr>
          <w:rFonts w:eastAsia="PMingLiU"/>
          <w:sz w:val="24"/>
          <w:szCs w:val="24"/>
        </w:rPr>
        <w:t>“</w:t>
      </w:r>
      <w:r>
        <w:rPr>
          <w:rFonts w:eastAsia="PMingLiU"/>
          <w:sz w:val="24"/>
          <w:szCs w:val="24"/>
          <w:u w:val="single"/>
        </w:rPr>
        <w:t>Credited Output</w:t>
      </w:r>
      <w:r>
        <w:rPr>
          <w:rFonts w:eastAsia="PMingLiU"/>
          <w:sz w:val="24"/>
          <w:szCs w:val="24"/>
        </w:rPr>
        <w:t>” means, for any relevant period the (a) Delivered Energy in such period plus (b) the Excused Output in such period.</w:t>
      </w:r>
    </w:p>
    <w:p>
      <w:pPr>
        <w:spacing w:after="120" w:line="240" w:lineRule="auto"/>
        <w:rPr>
          <w:rFonts w:eastAsia="PMingLiU"/>
          <w:sz w:val="24"/>
          <w:szCs w:val="24"/>
        </w:rPr>
      </w:pPr>
      <w:r>
        <w:rPr>
          <w:rFonts w:eastAsia="PMingLiU"/>
          <w:sz w:val="24"/>
          <w:szCs w:val="24"/>
        </w:rPr>
        <w:t>“</w:t>
      </w:r>
      <w:r>
        <w:rPr>
          <w:rFonts w:eastAsia="PMingLiU"/>
          <w:sz w:val="24"/>
          <w:szCs w:val="24"/>
          <w:u w:val="single"/>
        </w:rPr>
        <w:t>Deficiency Payment</w:t>
      </w:r>
      <w:r>
        <w:rPr>
          <w:rFonts w:eastAsia="PMingLiU"/>
          <w:sz w:val="24"/>
          <w:szCs w:val="24"/>
        </w:rPr>
        <w:t xml:space="preserve">” means a payment in US dollars equal to the Production Deficiency </w:t>
      </w:r>
      <w:r>
        <w:rPr>
          <w:rFonts w:eastAsia="PMingLiU"/>
          <w:i/>
          <w:sz w:val="24"/>
          <w:szCs w:val="24"/>
        </w:rPr>
        <w:t>multiplied by</w:t>
      </w:r>
      <w:r>
        <w:rPr>
          <w:rFonts w:eastAsia="PMingLiU"/>
          <w:sz w:val="24"/>
          <w:szCs w:val="24"/>
        </w:rPr>
        <w:t xml:space="preserve"> the positive difference, if any, of the Green Power Price </w:t>
      </w:r>
      <w:r>
        <w:rPr>
          <w:rFonts w:eastAsia="PMingLiU"/>
          <w:i/>
          <w:sz w:val="24"/>
          <w:szCs w:val="24"/>
        </w:rPr>
        <w:t>minus</w:t>
      </w:r>
      <w:r>
        <w:rPr>
          <w:rFonts w:eastAsia="PMingLiU"/>
          <w:sz w:val="24"/>
          <w:szCs w:val="24"/>
        </w:rPr>
        <w:t xml:space="preserve"> the Contract Price.  </w:t>
      </w:r>
    </w:p>
    <w:p>
      <w:pPr>
        <w:spacing w:line="240" w:lineRule="auto"/>
        <w:rPr>
          <w:rFonts w:eastAsia="PMingLiU"/>
          <w:sz w:val="24"/>
          <w:szCs w:val="24"/>
        </w:rPr>
      </w:pPr>
      <w:r>
        <w:rPr>
          <w:rFonts w:eastAsia="PMingLiU"/>
          <w:sz w:val="24"/>
          <w:szCs w:val="24"/>
        </w:rPr>
        <w:t>“</w:t>
      </w:r>
      <w:r>
        <w:rPr>
          <w:rFonts w:eastAsia="PMingLiU"/>
          <w:sz w:val="24"/>
          <w:szCs w:val="24"/>
          <w:u w:val="single"/>
        </w:rPr>
        <w:t>Excused Output</w:t>
      </w:r>
      <w:r>
        <w:rPr>
          <w:rFonts w:eastAsia="PMingLiU"/>
          <w:sz w:val="24"/>
          <w:szCs w:val="24"/>
        </w:rPr>
        <w:t xml:space="preserve">” means, for any relevant period, and without duplication, Force Majeure Energy, Excused Curtailed Energy, and Excused Maintenance Energy.  For the sake of clarity, Seller shall not be entitled to claim credit for Excused Output to the extent the events or circumstances resulting in what would otherwise be considered Excused Output hereunder are the primary result of the negligence or fault of Seller or are otherwise primarily caused by Seller.  </w:t>
      </w:r>
    </w:p>
    <w:p>
      <w:pPr>
        <w:spacing w:after="180" w:line="240" w:lineRule="auto"/>
        <w:rPr>
          <w:rFonts w:eastAsia="PMingLiU"/>
          <w:sz w:val="24"/>
          <w:szCs w:val="24"/>
        </w:rPr>
      </w:pPr>
      <w:r>
        <w:rPr>
          <w:rFonts w:eastAsia="PMingLiU"/>
          <w:sz w:val="24"/>
          <w:szCs w:val="24"/>
        </w:rPr>
        <w:t>“</w:t>
      </w:r>
      <w:r>
        <w:rPr>
          <w:rFonts w:eastAsia="PMingLiU"/>
          <w:sz w:val="24"/>
          <w:szCs w:val="24"/>
          <w:u w:val="single"/>
        </w:rPr>
        <w:t>Forecasted Annual Production</w:t>
      </w:r>
      <w:r>
        <w:rPr>
          <w:rFonts w:eastAsia="PMingLiU"/>
          <w:sz w:val="24"/>
          <w:szCs w:val="24"/>
        </w:rPr>
        <w:t xml:space="preserve">” means the certain kWh quantity for each Annual Period as set forth in Table A below.  </w:t>
      </w:r>
    </w:p>
    <w:p>
      <w:pPr>
        <w:spacing w:line="240" w:lineRule="auto"/>
        <w:rPr>
          <w:rFonts w:eastAsia="PMingLiU"/>
          <w:sz w:val="24"/>
          <w:szCs w:val="24"/>
        </w:rPr>
      </w:pPr>
      <w:r>
        <w:rPr>
          <w:rFonts w:eastAsia="PMingLiU"/>
          <w:sz w:val="24"/>
          <w:szCs w:val="24"/>
        </w:rPr>
        <w:t>“</w:t>
      </w:r>
      <w:r>
        <w:rPr>
          <w:rFonts w:eastAsia="PMingLiU"/>
          <w:sz w:val="24"/>
          <w:szCs w:val="24"/>
          <w:u w:val="single"/>
        </w:rPr>
        <w:t>Green Power Price</w:t>
      </w:r>
      <w:r>
        <w:rPr>
          <w:rFonts w:eastAsia="PMingLiU"/>
          <w:sz w:val="24"/>
          <w:szCs w:val="24"/>
        </w:rPr>
        <w:t>” means the sum of (a) the weighted average of the Mid-Columbia Day-Ahead Price at the Point of Interconnection during the applicable Calculation Period (weighted by reference to the Potential Energy for each hour of the applicable Calculation Period) plus (b) the then-current lowest price for Environmental Attributes associated with energy generated from solar generating facilities registered with WREGIS and located in Western Electricity Coordinating Counsel region and of the same vintage as the Annual Period in which the applicable Production Deficiency occurred.  The price in subpart (b) above will be determined by taking the average of three dealer quotes representing a live offer to sell Renewable Energy Credits of the type and quality described in subpart (b) and in a quantity equal to the Production Deficiency.</w:t>
      </w:r>
    </w:p>
    <w:p>
      <w:pPr>
        <w:spacing w:line="240" w:lineRule="auto"/>
        <w:rPr>
          <w:rFonts w:eastAsia="PMingLiU"/>
          <w:sz w:val="24"/>
          <w:szCs w:val="24"/>
        </w:rPr>
      </w:pPr>
      <w:r>
        <w:rPr>
          <w:rFonts w:eastAsia="PMingLiU"/>
          <w:sz w:val="24"/>
          <w:szCs w:val="24"/>
        </w:rPr>
        <w:t>“</w:t>
      </w:r>
      <w:r>
        <w:rPr>
          <w:rFonts w:eastAsia="PMingLiU"/>
          <w:sz w:val="24"/>
          <w:szCs w:val="24"/>
          <w:u w:val="single"/>
        </w:rPr>
        <w:t>Guaranteed Minimum Output</w:t>
      </w:r>
      <w:r>
        <w:rPr>
          <w:rFonts w:eastAsia="PMingLiU"/>
          <w:sz w:val="24"/>
          <w:szCs w:val="24"/>
        </w:rPr>
        <w:t>” means [</w:t>
      </w:r>
      <w:r>
        <w:rPr>
          <w:rFonts w:eastAsia="PMingLiU"/>
          <w:sz w:val="24"/>
          <w:szCs w:val="24"/>
        </w:rPr>
        <w:tab/>
        <w:t>] ([</w:t>
      </w:r>
      <w:r>
        <w:rPr>
          <w:rFonts w:eastAsia="PMingLiU"/>
          <w:sz w:val="24"/>
          <w:szCs w:val="24"/>
        </w:rPr>
        <w:tab/>
        <w:t>]%) multiplied by the average Forecasted Annual Production for such Calculation Period.</w:t>
      </w:r>
    </w:p>
    <w:p>
      <w:pPr>
        <w:spacing w:line="240" w:lineRule="auto"/>
        <w:rPr>
          <w:rFonts w:eastAsia="PMingLiU"/>
          <w:sz w:val="24"/>
          <w:szCs w:val="24"/>
        </w:rPr>
      </w:pPr>
      <w:r>
        <w:rPr>
          <w:rFonts w:eastAsia="PMingLiU"/>
          <w:sz w:val="24"/>
          <w:szCs w:val="24"/>
        </w:rPr>
        <w:t>“</w:t>
      </w:r>
      <w:r>
        <w:rPr>
          <w:rFonts w:eastAsia="PMingLiU"/>
          <w:sz w:val="24"/>
          <w:szCs w:val="24"/>
          <w:u w:val="single"/>
        </w:rPr>
        <w:t>Monthly Report</w:t>
      </w:r>
      <w:r>
        <w:rPr>
          <w:rFonts w:eastAsia="PMingLiU"/>
          <w:sz w:val="24"/>
          <w:szCs w:val="24"/>
        </w:rPr>
        <w:t>” is defined in Section </w:t>
      </w:r>
      <w:r>
        <w:rPr>
          <w:rFonts w:eastAsia="PMingLiU"/>
          <w:sz w:val="24"/>
          <w:szCs w:val="24"/>
        </w:rPr>
        <w:fldChar w:fldCharType="begin"/>
      </w:r>
      <w:r>
        <w:rPr>
          <w:rFonts w:eastAsia="PMingLiU"/>
          <w:sz w:val="24"/>
          <w:szCs w:val="24"/>
        </w:rPr>
        <w:instrText xml:space="preserve"> REF _Ref145761697 \n \h </w:instrText>
      </w:r>
      <w:r>
        <w:rPr>
          <w:rFonts w:eastAsia="PMingLiU"/>
          <w:sz w:val="24"/>
          <w:szCs w:val="24"/>
        </w:rPr>
      </w:r>
      <w:r>
        <w:rPr>
          <w:rFonts w:eastAsia="PMingLiU"/>
          <w:sz w:val="24"/>
          <w:szCs w:val="24"/>
        </w:rPr>
        <w:fldChar w:fldCharType="separate"/>
      </w:r>
      <w:r>
        <w:rPr>
          <w:rFonts w:eastAsia="PMingLiU"/>
          <w:sz w:val="24"/>
          <w:szCs w:val="24"/>
        </w:rPr>
        <w:t>2.1</w:t>
      </w:r>
      <w:r>
        <w:rPr>
          <w:rFonts w:eastAsia="PMingLiU"/>
          <w:sz w:val="24"/>
          <w:szCs w:val="24"/>
        </w:rPr>
        <w:fldChar w:fldCharType="end"/>
      </w:r>
      <w:r>
        <w:rPr>
          <w:rFonts w:eastAsia="PMingLiU"/>
          <w:sz w:val="24"/>
          <w:szCs w:val="24"/>
        </w:rPr>
        <w:t xml:space="preserve"> of this Appendix.</w:t>
      </w:r>
    </w:p>
    <w:p>
      <w:pPr>
        <w:spacing w:line="240" w:lineRule="auto"/>
        <w:rPr>
          <w:rFonts w:eastAsia="PMingLiU"/>
          <w:sz w:val="24"/>
          <w:szCs w:val="24"/>
        </w:rPr>
      </w:pPr>
      <w:r>
        <w:rPr>
          <w:rFonts w:eastAsia="PMingLiU"/>
          <w:sz w:val="24"/>
          <w:szCs w:val="24"/>
        </w:rPr>
        <w:t>“</w:t>
      </w:r>
      <w:r>
        <w:rPr>
          <w:rFonts w:eastAsia="PMingLiU"/>
          <w:sz w:val="24"/>
          <w:szCs w:val="24"/>
          <w:u w:val="single"/>
        </w:rPr>
        <w:t>Potential Energy</w:t>
      </w:r>
      <w:r>
        <w:rPr>
          <w:rFonts w:eastAsia="PMingLiU"/>
          <w:sz w:val="24"/>
          <w:szCs w:val="24"/>
        </w:rPr>
        <w:t xml:space="preserve">” means, for any given relevant period, the amount of Energy that would have been Delivered Energy in such period based on actual meteorological data and assuming one </w:t>
      </w:r>
      <w:r>
        <w:rPr>
          <w:rFonts w:eastAsia="PMingLiU"/>
          <w:sz w:val="24"/>
          <w:szCs w:val="24"/>
        </w:rPr>
        <w:lastRenderedPageBreak/>
        <w:t>hundred percent (100%) availability without the occurrence of any events or circumstances that would result in any Excused Output.</w:t>
      </w:r>
    </w:p>
    <w:p>
      <w:pPr>
        <w:spacing w:line="240" w:lineRule="auto"/>
        <w:rPr>
          <w:rFonts w:eastAsia="PMingLiU"/>
          <w:sz w:val="24"/>
          <w:szCs w:val="24"/>
        </w:rPr>
      </w:pPr>
      <w:r>
        <w:rPr>
          <w:rFonts w:eastAsia="PMingLiU"/>
          <w:sz w:val="24"/>
          <w:szCs w:val="24"/>
        </w:rPr>
        <w:t>“</w:t>
      </w:r>
      <w:r>
        <w:rPr>
          <w:rFonts w:eastAsia="PMingLiU"/>
          <w:sz w:val="24"/>
          <w:szCs w:val="24"/>
          <w:u w:val="single"/>
        </w:rPr>
        <w:t>Production Deficiency</w:t>
      </w:r>
      <w:r>
        <w:rPr>
          <w:rFonts w:eastAsia="PMingLiU"/>
          <w:sz w:val="24"/>
          <w:szCs w:val="24"/>
        </w:rPr>
        <w:t>” means, for any Calculation Period, the quantity, in kWhs, determined by subtracting (a) Credited Output in such Calculation Period, from (b) the Guaranteed Minimum Output for such Calculation Period; provided, however, that Production Deficiency will never be less than zero.</w:t>
      </w:r>
    </w:p>
    <w:p>
      <w:pPr>
        <w:pStyle w:val="APPENDIXoutlinedc6"/>
      </w:pPr>
      <w:bookmarkStart w:id="208" w:name="_Ref145761774"/>
      <w:r>
        <w:t>Reporting</w:t>
      </w:r>
      <w:bookmarkEnd w:id="208"/>
      <w:r>
        <w:t xml:space="preserve"> </w:t>
      </w:r>
    </w:p>
    <w:p>
      <w:pPr>
        <w:pStyle w:val="APPENDIXoutlinedc7"/>
      </w:pPr>
      <w:bookmarkStart w:id="209" w:name="_Ref145761697"/>
      <w:r>
        <w:t>From and after the Commercial Operation Date, Seller shall calculate on an hourly basis the Credited Output in such hour.  On a monthly basis no later than the tenth (10th) day after the end of each month during a Calculation Period, Seller shall furnish PSE with a report detailing the foregoing for the prior month detailing the Credited Output for each hour of such month (including an itemization of the Delivered Energy and Excused Output for each such hour) and calculating the Production Deficiency, if any, using for purposes of this monthly report a  Calculation Period equal to the prior rolling twenty-four (24) month period (inclusive of the month in question) (the “</w:t>
      </w:r>
      <w:r>
        <w:rPr>
          <w:u w:val="single"/>
        </w:rPr>
        <w:t>Monthly Report</w:t>
      </w:r>
      <w:r>
        <w:t>”).  If requested by PSE, Seller shall also furnish reasonably detailed backup data supporting the calculations in the Monthly Report.</w:t>
      </w:r>
      <w:bookmarkEnd w:id="209"/>
    </w:p>
    <w:p>
      <w:pPr>
        <w:pStyle w:val="APPENDIXoutlinedc7"/>
      </w:pPr>
      <w:bookmarkStart w:id="210" w:name="_Hlk54606410"/>
      <w:bookmarkStart w:id="211" w:name="_docxtools_738"/>
      <w:r>
        <w:t>No later than thirty (30) days after each Calculation Period, Seller shall deliver to PSE a report detailing the Credited Output for each hour of such Calculation Period (including an itemization of the Delivered Energy and Excused Output for each such hour) and calculating the Production Deficiency, if any, and the amount of any Deficiency Payment, if any, due to PSE (the “</w:t>
      </w:r>
      <w:r>
        <w:rPr>
          <w:u w:val="single"/>
        </w:rPr>
        <w:t>Calculation Period Report</w:t>
      </w:r>
      <w:r>
        <w:t xml:space="preserve">”).  </w:t>
      </w:r>
      <w:bookmarkEnd w:id="210"/>
      <w:r>
        <w:t xml:space="preserve">Seller shall also furnish reasonably detailed backup data supporting the calculations in the Calculation Period Report.  </w:t>
      </w:r>
      <w:bookmarkEnd w:id="211"/>
    </w:p>
    <w:p>
      <w:pPr>
        <w:pStyle w:val="APPENDIXoutlinedc7"/>
      </w:pPr>
      <w:r>
        <w:t xml:space="preserve">All reports and data contemplated by this </w:t>
      </w:r>
      <w:r>
        <w:fldChar w:fldCharType="begin"/>
      </w:r>
      <w:r>
        <w:instrText xml:space="preserve"> REF _Ref145761774 \n \h </w:instrText>
      </w:r>
      <w:r>
        <w:fldChar w:fldCharType="separate"/>
      </w:r>
      <w:r>
        <w:t>Section 2</w:t>
      </w:r>
      <w:r>
        <w:fldChar w:fldCharType="end"/>
      </w:r>
      <w:r>
        <w:t xml:space="preserve"> shall be furnished in their native readable format (for example, while providing a pdf is permissible, it shall be accompanied by the original report and data in its native software format such that it is capable of being read electronically by PSE).</w:t>
      </w:r>
    </w:p>
    <w:p>
      <w:pPr>
        <w:pStyle w:val="APPENDIXoutlinedc7"/>
        <w:rPr>
          <w:rFonts w:eastAsia="PMingLiU"/>
        </w:rPr>
      </w:pPr>
      <w:bookmarkStart w:id="212" w:name="_docxtools_740"/>
      <w:r>
        <w:t xml:space="preserve">Promptly following receipt by PSE of each of Seller’s reports (and required backup data), and in any event within thirty (30) days thereafter, the Parties shall meet to review such calculations and the underlying data supporting such calculations, including any adjustments thereto to reflect inaccuracies or defects therein, if any.  The Parties shall use commercially reasonable efforts to agree upon the calculations required within thirty (30) days following receipt by PSE of Seller’s calculation thereof.  </w:t>
      </w:r>
      <w:bookmarkEnd w:id="212"/>
    </w:p>
    <w:p>
      <w:pPr>
        <w:pStyle w:val="APPENDIXoutlinedc6"/>
      </w:pPr>
      <w:r>
        <w:t>Deficiency Payment.</w:t>
      </w:r>
    </w:p>
    <w:p>
      <w:pPr>
        <w:pStyle w:val="APPENDIXoutlinedc7"/>
      </w:pPr>
      <w:bookmarkStart w:id="213" w:name="_Ref145761800"/>
      <w:r>
        <w:t>If at the end of a Calculation Period during the Delivery Period the Facility fails to achieve the Guaranteed Minimum Output, then Seller shall pay to PSE as liquidated damages an amount equal to the Deficiency Payment.</w:t>
      </w:r>
      <w:bookmarkEnd w:id="213"/>
      <w:r>
        <w:t xml:space="preserve">  </w:t>
      </w:r>
    </w:p>
    <w:p>
      <w:pPr>
        <w:pStyle w:val="APPENDIXoutlinedc7"/>
      </w:pPr>
      <w:r>
        <w:lastRenderedPageBreak/>
        <w:t>Seller’s computation of the amount due to PSE pursuant to Section </w:t>
      </w:r>
      <w:r>
        <w:fldChar w:fldCharType="begin"/>
      </w:r>
      <w:r>
        <w:instrText xml:space="preserve"> REF _Ref145761800 \n \h </w:instrText>
      </w:r>
      <w:r>
        <w:fldChar w:fldCharType="separate"/>
      </w:r>
      <w:r>
        <w:t>3.1</w:t>
      </w:r>
      <w:r>
        <w:fldChar w:fldCharType="end"/>
      </w:r>
      <w:r>
        <w:t xml:space="preserve"> of this </w:t>
      </w:r>
      <w:r>
        <w:fldChar w:fldCharType="begin"/>
      </w:r>
      <w:r>
        <w:instrText xml:space="preserve"> REF _docxtools_723 \w \h  </w:instrText>
      </w:r>
      <w:r>
        <w:fldChar w:fldCharType="separate"/>
      </w:r>
      <w:r>
        <w:t>Appendix H</w:t>
      </w:r>
      <w:r>
        <w:fldChar w:fldCharType="end"/>
      </w:r>
      <w:r>
        <w:t xml:space="preserve"> (if any) shall be included in the invoice covering the last calendar month of each Calculation Period, subject to adjustment pursuant to Section </w:t>
      </w:r>
      <w:r>
        <w:fldChar w:fldCharType="begin"/>
      </w:r>
      <w:r>
        <w:instrText xml:space="preserve"> REF _docxtools_740 \w \h \t  </w:instrText>
      </w:r>
      <w:r>
        <w:fldChar w:fldCharType="separate"/>
      </w:r>
      <w:r>
        <w:t>H2.4</w:t>
      </w:r>
      <w:r>
        <w:fldChar w:fldCharType="end"/>
      </w:r>
      <w:r>
        <w:t>.  For the avoidance of doubt, if Seller determines that no Deficiency Payment is owed for a Calculation Period, but it is later determined under Section </w:t>
      </w:r>
      <w:r>
        <w:fldChar w:fldCharType="begin"/>
      </w:r>
      <w:r>
        <w:instrText xml:space="preserve"> REF _docxtools_740 \w \h \t  </w:instrText>
      </w:r>
      <w:r>
        <w:fldChar w:fldCharType="separate"/>
      </w:r>
      <w:r>
        <w:t>H2.4</w:t>
      </w:r>
      <w:r>
        <w:fldChar w:fldCharType="end"/>
      </w:r>
      <w:r>
        <w:t xml:space="preserve"> that a Deficiency Payment is owed, the Deficiency Payment will be paid by Seller to PSE promptly, but in no event more than five (5) Days after the Deficiency Payment is calculated under Section </w:t>
      </w:r>
      <w:r>
        <w:fldChar w:fldCharType="begin"/>
      </w:r>
      <w:r>
        <w:instrText xml:space="preserve"> REF _docxtools_740 \w \h \t  </w:instrText>
      </w:r>
      <w:r>
        <w:fldChar w:fldCharType="separate"/>
      </w:r>
      <w:r>
        <w:t>H2.4</w:t>
      </w:r>
      <w:r>
        <w:fldChar w:fldCharType="end"/>
      </w:r>
      <w:r>
        <w:t xml:space="preserve">.  </w:t>
      </w:r>
    </w:p>
    <w:p>
      <w:pPr>
        <w:pStyle w:val="APPENDIXoutlinedc7"/>
      </w:pPr>
      <w:r>
        <w:t xml:space="preserve">For the avoidance of doubt, the Deficiency Payment shall be calculated as follows:  </w:t>
      </w:r>
    </w:p>
    <w:p>
      <w:pPr>
        <w:spacing w:after="120" w:line="240" w:lineRule="auto"/>
        <w:rPr>
          <w:rFonts w:eastAsia="PMingLiU"/>
          <w:sz w:val="24"/>
          <w:szCs w:val="24"/>
        </w:rPr>
      </w:pPr>
      <w:r>
        <w:rPr>
          <w:rFonts w:eastAsia="PMingLiU"/>
          <w:sz w:val="24"/>
          <w:szCs w:val="24"/>
        </w:rPr>
        <w:t>[(A – B) * (C – D)]</w:t>
      </w:r>
    </w:p>
    <w:p>
      <w:pPr>
        <w:spacing w:after="120" w:line="240" w:lineRule="auto"/>
        <w:rPr>
          <w:rFonts w:eastAsia="PMingLiU"/>
          <w:sz w:val="24"/>
          <w:szCs w:val="24"/>
        </w:rPr>
      </w:pPr>
      <w:r>
        <w:rPr>
          <w:rFonts w:eastAsia="PMingLiU"/>
          <w:sz w:val="24"/>
          <w:szCs w:val="24"/>
        </w:rPr>
        <w:t>where:</w:t>
      </w:r>
    </w:p>
    <w:p>
      <w:pPr>
        <w:spacing w:after="120" w:line="240" w:lineRule="auto"/>
        <w:rPr>
          <w:rFonts w:eastAsia="PMingLiU"/>
          <w:sz w:val="24"/>
          <w:szCs w:val="24"/>
        </w:rPr>
      </w:pPr>
      <w:r>
        <w:rPr>
          <w:rFonts w:eastAsia="PMingLiU"/>
          <w:sz w:val="24"/>
          <w:szCs w:val="24"/>
        </w:rPr>
        <w:tab/>
        <w:t>A = the Guaranteed Minimum Output</w:t>
      </w:r>
    </w:p>
    <w:p>
      <w:pPr>
        <w:spacing w:after="120" w:line="240" w:lineRule="auto"/>
        <w:rPr>
          <w:rFonts w:eastAsia="PMingLiU"/>
          <w:sz w:val="24"/>
          <w:szCs w:val="24"/>
        </w:rPr>
      </w:pPr>
      <w:r>
        <w:rPr>
          <w:rFonts w:eastAsia="PMingLiU"/>
          <w:sz w:val="24"/>
          <w:szCs w:val="24"/>
        </w:rPr>
        <w:tab/>
        <w:t xml:space="preserve">B = the Credited Output for the Calculation Period </w:t>
      </w:r>
    </w:p>
    <w:p>
      <w:pPr>
        <w:spacing w:after="120" w:line="240" w:lineRule="auto"/>
        <w:rPr>
          <w:rFonts w:eastAsia="PMingLiU"/>
          <w:sz w:val="24"/>
          <w:szCs w:val="24"/>
        </w:rPr>
      </w:pPr>
      <w:r>
        <w:rPr>
          <w:rFonts w:eastAsia="PMingLiU"/>
          <w:sz w:val="24"/>
          <w:szCs w:val="24"/>
        </w:rPr>
        <w:tab/>
        <w:t xml:space="preserve">C = the Green Power Price for the Calculation Period </w:t>
      </w:r>
    </w:p>
    <w:p>
      <w:pPr>
        <w:spacing w:after="120" w:line="240" w:lineRule="auto"/>
        <w:rPr>
          <w:rFonts w:eastAsia="PMingLiU"/>
          <w:sz w:val="24"/>
          <w:szCs w:val="24"/>
        </w:rPr>
      </w:pPr>
      <w:r>
        <w:rPr>
          <w:rFonts w:eastAsia="PMingLiU"/>
          <w:sz w:val="24"/>
          <w:szCs w:val="24"/>
        </w:rPr>
        <w:tab/>
        <w:t xml:space="preserve">D = the Contract Price </w:t>
      </w:r>
    </w:p>
    <w:p>
      <w:pPr>
        <w:spacing w:after="120" w:line="240" w:lineRule="auto"/>
        <w:rPr>
          <w:rFonts w:eastAsia="PMingLiU"/>
          <w:sz w:val="24"/>
          <w:szCs w:val="24"/>
        </w:rPr>
      </w:pPr>
    </w:p>
    <w:p>
      <w:pPr>
        <w:spacing w:after="120" w:line="240" w:lineRule="auto"/>
        <w:jc w:val="center"/>
        <w:rPr>
          <w:rFonts w:eastAsia="PMingLiU"/>
          <w:b/>
          <w:bCs/>
          <w:sz w:val="24"/>
          <w:szCs w:val="24"/>
          <w:u w:val="single"/>
        </w:rPr>
      </w:pPr>
      <w:r>
        <w:rPr>
          <w:rFonts w:eastAsia="PMingLiU"/>
          <w:b/>
          <w:bCs/>
          <w:sz w:val="24"/>
          <w:szCs w:val="24"/>
          <w:u w:val="single"/>
        </w:rPr>
        <w:t>Table A:  Forecasted Annual Production</w:t>
      </w:r>
    </w:p>
    <w:p>
      <w:pPr>
        <w:spacing w:after="120" w:line="240" w:lineRule="auto"/>
        <w:jc w:val="center"/>
        <w:rPr>
          <w:rFonts w:eastAsia="PMingLiU"/>
          <w:sz w:val="24"/>
          <w:szCs w:val="24"/>
        </w:rPr>
      </w:pPr>
    </w:p>
    <w:tbl>
      <w:tblPr>
        <w:tblW w:w="0" w:type="auto"/>
        <w:tblInd w:w="1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tblGrid>
      <w:tr>
        <w:tc>
          <w:tcPr>
            <w:tcW w:w="2700" w:type="dxa"/>
            <w:vAlign w:val="center"/>
          </w:tcPr>
          <w:p>
            <w:pPr>
              <w:spacing w:line="240" w:lineRule="auto"/>
              <w:rPr>
                <w:rFonts w:eastAsia="PMingLiU"/>
                <w:b/>
                <w:bCs/>
                <w:sz w:val="24"/>
                <w:szCs w:val="24"/>
              </w:rPr>
            </w:pPr>
            <w:r>
              <w:rPr>
                <w:rFonts w:eastAsia="PMingLiU"/>
                <w:b/>
                <w:bCs/>
                <w:sz w:val="24"/>
                <w:szCs w:val="24"/>
              </w:rPr>
              <w:t xml:space="preserve">Annual Period </w:t>
            </w:r>
          </w:p>
        </w:tc>
        <w:tc>
          <w:tcPr>
            <w:tcW w:w="2700" w:type="dxa"/>
            <w:vAlign w:val="center"/>
          </w:tcPr>
          <w:p>
            <w:pPr>
              <w:spacing w:line="240" w:lineRule="auto"/>
              <w:rPr>
                <w:rFonts w:eastAsia="PMingLiU"/>
                <w:b/>
                <w:bCs/>
                <w:sz w:val="24"/>
                <w:szCs w:val="24"/>
              </w:rPr>
            </w:pPr>
            <w:r>
              <w:rPr>
                <w:rFonts w:eastAsia="PMingLiU"/>
                <w:b/>
                <w:bCs/>
                <w:sz w:val="24"/>
                <w:szCs w:val="24"/>
              </w:rPr>
              <w:t>Energy (kWh)</w:t>
            </w:r>
          </w:p>
        </w:tc>
      </w:tr>
      <w:tr>
        <w:tc>
          <w:tcPr>
            <w:tcW w:w="2700" w:type="dxa"/>
          </w:tcPr>
          <w:p>
            <w:pPr>
              <w:spacing w:line="240" w:lineRule="auto"/>
              <w:jc w:val="center"/>
              <w:rPr>
                <w:rFonts w:eastAsia="PMingLiU"/>
                <w:sz w:val="24"/>
                <w:szCs w:val="24"/>
              </w:rPr>
            </w:pPr>
            <w:r>
              <w:rPr>
                <w:rFonts w:eastAsia="PMingLiU"/>
                <w:sz w:val="24"/>
                <w:szCs w:val="24"/>
              </w:rPr>
              <w:t>1</w:t>
            </w:r>
          </w:p>
        </w:tc>
        <w:tc>
          <w:tcPr>
            <w:tcW w:w="2700" w:type="dxa"/>
          </w:tcPr>
          <w:p>
            <w:pPr>
              <w:spacing w:line="240" w:lineRule="auto"/>
              <w:jc w:val="center"/>
              <w:rPr>
                <w:rFonts w:eastAsia="PMingLiU"/>
                <w:sz w:val="24"/>
                <w:szCs w:val="24"/>
              </w:rPr>
            </w:pPr>
          </w:p>
        </w:tc>
      </w:tr>
      <w:tr>
        <w:tc>
          <w:tcPr>
            <w:tcW w:w="2700" w:type="dxa"/>
          </w:tcPr>
          <w:p>
            <w:pPr>
              <w:spacing w:line="240" w:lineRule="auto"/>
              <w:jc w:val="center"/>
              <w:rPr>
                <w:rFonts w:eastAsia="PMingLiU"/>
                <w:sz w:val="24"/>
                <w:szCs w:val="24"/>
              </w:rPr>
            </w:pPr>
            <w:r>
              <w:rPr>
                <w:rFonts w:eastAsia="PMingLiU"/>
                <w:sz w:val="24"/>
                <w:szCs w:val="24"/>
              </w:rPr>
              <w:t>2</w:t>
            </w:r>
          </w:p>
        </w:tc>
        <w:tc>
          <w:tcPr>
            <w:tcW w:w="2700" w:type="dxa"/>
          </w:tcPr>
          <w:p>
            <w:pPr>
              <w:spacing w:line="240" w:lineRule="auto"/>
              <w:jc w:val="center"/>
              <w:rPr>
                <w:rFonts w:eastAsia="PMingLiU"/>
                <w:sz w:val="24"/>
                <w:szCs w:val="24"/>
              </w:rPr>
            </w:pPr>
          </w:p>
        </w:tc>
      </w:tr>
      <w:tr>
        <w:tc>
          <w:tcPr>
            <w:tcW w:w="2700" w:type="dxa"/>
          </w:tcPr>
          <w:p>
            <w:pPr>
              <w:spacing w:line="240" w:lineRule="auto"/>
              <w:jc w:val="center"/>
              <w:rPr>
                <w:rFonts w:eastAsia="PMingLiU"/>
                <w:sz w:val="24"/>
                <w:szCs w:val="24"/>
              </w:rPr>
            </w:pPr>
            <w:r>
              <w:rPr>
                <w:rFonts w:eastAsia="PMingLiU"/>
                <w:sz w:val="24"/>
                <w:szCs w:val="24"/>
              </w:rPr>
              <w:t>3</w:t>
            </w:r>
          </w:p>
        </w:tc>
        <w:tc>
          <w:tcPr>
            <w:tcW w:w="2700" w:type="dxa"/>
          </w:tcPr>
          <w:p>
            <w:pPr>
              <w:spacing w:line="240" w:lineRule="auto"/>
              <w:jc w:val="center"/>
              <w:rPr>
                <w:rFonts w:eastAsia="PMingLiU"/>
                <w:sz w:val="24"/>
                <w:szCs w:val="24"/>
              </w:rPr>
            </w:pPr>
          </w:p>
        </w:tc>
      </w:tr>
      <w:tr>
        <w:tc>
          <w:tcPr>
            <w:tcW w:w="2700" w:type="dxa"/>
          </w:tcPr>
          <w:p>
            <w:pPr>
              <w:spacing w:line="240" w:lineRule="auto"/>
              <w:jc w:val="center"/>
              <w:rPr>
                <w:rFonts w:eastAsia="PMingLiU"/>
                <w:sz w:val="24"/>
                <w:szCs w:val="24"/>
              </w:rPr>
            </w:pPr>
            <w:r>
              <w:rPr>
                <w:rFonts w:eastAsia="PMingLiU"/>
                <w:sz w:val="24"/>
                <w:szCs w:val="24"/>
              </w:rPr>
              <w:t>4</w:t>
            </w:r>
          </w:p>
        </w:tc>
        <w:tc>
          <w:tcPr>
            <w:tcW w:w="2700" w:type="dxa"/>
          </w:tcPr>
          <w:p>
            <w:pPr>
              <w:spacing w:line="240" w:lineRule="auto"/>
              <w:jc w:val="center"/>
              <w:rPr>
                <w:rFonts w:eastAsia="PMingLiU"/>
                <w:sz w:val="24"/>
                <w:szCs w:val="24"/>
              </w:rPr>
            </w:pPr>
          </w:p>
        </w:tc>
      </w:tr>
      <w:tr>
        <w:tc>
          <w:tcPr>
            <w:tcW w:w="2700" w:type="dxa"/>
          </w:tcPr>
          <w:p>
            <w:pPr>
              <w:spacing w:line="240" w:lineRule="auto"/>
              <w:jc w:val="center"/>
              <w:rPr>
                <w:rFonts w:eastAsia="PMingLiU"/>
                <w:sz w:val="24"/>
                <w:szCs w:val="24"/>
              </w:rPr>
            </w:pPr>
            <w:r>
              <w:rPr>
                <w:rFonts w:eastAsia="PMingLiU"/>
                <w:sz w:val="24"/>
                <w:szCs w:val="24"/>
              </w:rPr>
              <w:t>5</w:t>
            </w:r>
          </w:p>
        </w:tc>
        <w:tc>
          <w:tcPr>
            <w:tcW w:w="2700" w:type="dxa"/>
          </w:tcPr>
          <w:p>
            <w:pPr>
              <w:spacing w:line="240" w:lineRule="auto"/>
              <w:jc w:val="center"/>
              <w:rPr>
                <w:rFonts w:eastAsia="PMingLiU"/>
                <w:sz w:val="24"/>
                <w:szCs w:val="24"/>
              </w:rPr>
            </w:pPr>
          </w:p>
        </w:tc>
      </w:tr>
      <w:tr>
        <w:tc>
          <w:tcPr>
            <w:tcW w:w="2700" w:type="dxa"/>
          </w:tcPr>
          <w:p>
            <w:pPr>
              <w:spacing w:line="240" w:lineRule="auto"/>
              <w:jc w:val="center"/>
              <w:rPr>
                <w:rFonts w:eastAsia="PMingLiU"/>
                <w:sz w:val="24"/>
                <w:szCs w:val="24"/>
              </w:rPr>
            </w:pPr>
            <w:r>
              <w:rPr>
                <w:rFonts w:eastAsia="PMingLiU"/>
                <w:sz w:val="24"/>
                <w:szCs w:val="24"/>
              </w:rPr>
              <w:t>6</w:t>
            </w:r>
          </w:p>
        </w:tc>
        <w:tc>
          <w:tcPr>
            <w:tcW w:w="2700" w:type="dxa"/>
          </w:tcPr>
          <w:p>
            <w:pPr>
              <w:spacing w:line="240" w:lineRule="auto"/>
              <w:jc w:val="center"/>
              <w:rPr>
                <w:rFonts w:eastAsia="PMingLiU"/>
                <w:sz w:val="24"/>
                <w:szCs w:val="24"/>
              </w:rPr>
            </w:pPr>
          </w:p>
        </w:tc>
      </w:tr>
      <w:tr>
        <w:tc>
          <w:tcPr>
            <w:tcW w:w="2700" w:type="dxa"/>
          </w:tcPr>
          <w:p>
            <w:pPr>
              <w:spacing w:line="240" w:lineRule="auto"/>
              <w:jc w:val="center"/>
              <w:rPr>
                <w:rFonts w:eastAsia="PMingLiU"/>
                <w:sz w:val="24"/>
                <w:szCs w:val="24"/>
              </w:rPr>
            </w:pPr>
            <w:r>
              <w:rPr>
                <w:rFonts w:eastAsia="PMingLiU"/>
                <w:sz w:val="24"/>
                <w:szCs w:val="24"/>
              </w:rPr>
              <w:t>7</w:t>
            </w:r>
          </w:p>
        </w:tc>
        <w:tc>
          <w:tcPr>
            <w:tcW w:w="2700" w:type="dxa"/>
          </w:tcPr>
          <w:p>
            <w:pPr>
              <w:spacing w:line="240" w:lineRule="auto"/>
              <w:jc w:val="center"/>
              <w:rPr>
                <w:rFonts w:eastAsia="PMingLiU"/>
                <w:sz w:val="24"/>
                <w:szCs w:val="24"/>
              </w:rPr>
            </w:pPr>
          </w:p>
        </w:tc>
      </w:tr>
      <w:tr>
        <w:tc>
          <w:tcPr>
            <w:tcW w:w="2700" w:type="dxa"/>
          </w:tcPr>
          <w:p>
            <w:pPr>
              <w:spacing w:line="240" w:lineRule="auto"/>
              <w:jc w:val="center"/>
              <w:rPr>
                <w:rFonts w:eastAsia="PMingLiU"/>
                <w:sz w:val="24"/>
                <w:szCs w:val="24"/>
              </w:rPr>
            </w:pPr>
            <w:r>
              <w:rPr>
                <w:rFonts w:eastAsia="PMingLiU"/>
                <w:sz w:val="24"/>
                <w:szCs w:val="24"/>
              </w:rPr>
              <w:t>8</w:t>
            </w:r>
          </w:p>
        </w:tc>
        <w:tc>
          <w:tcPr>
            <w:tcW w:w="2700" w:type="dxa"/>
          </w:tcPr>
          <w:p>
            <w:pPr>
              <w:spacing w:line="240" w:lineRule="auto"/>
              <w:jc w:val="center"/>
              <w:rPr>
                <w:rFonts w:eastAsia="PMingLiU"/>
                <w:sz w:val="24"/>
                <w:szCs w:val="24"/>
              </w:rPr>
            </w:pPr>
          </w:p>
        </w:tc>
      </w:tr>
      <w:tr>
        <w:tc>
          <w:tcPr>
            <w:tcW w:w="2700" w:type="dxa"/>
          </w:tcPr>
          <w:p>
            <w:pPr>
              <w:spacing w:line="240" w:lineRule="auto"/>
              <w:jc w:val="center"/>
              <w:rPr>
                <w:rFonts w:eastAsia="PMingLiU"/>
                <w:sz w:val="24"/>
                <w:szCs w:val="24"/>
              </w:rPr>
            </w:pPr>
            <w:r>
              <w:rPr>
                <w:rFonts w:eastAsia="PMingLiU"/>
                <w:sz w:val="24"/>
                <w:szCs w:val="24"/>
              </w:rPr>
              <w:t>9</w:t>
            </w:r>
          </w:p>
        </w:tc>
        <w:tc>
          <w:tcPr>
            <w:tcW w:w="2700" w:type="dxa"/>
          </w:tcPr>
          <w:p>
            <w:pPr>
              <w:spacing w:line="240" w:lineRule="auto"/>
              <w:jc w:val="center"/>
              <w:rPr>
                <w:rFonts w:eastAsia="PMingLiU"/>
                <w:sz w:val="24"/>
                <w:szCs w:val="24"/>
              </w:rPr>
            </w:pPr>
          </w:p>
        </w:tc>
      </w:tr>
      <w:tr>
        <w:tc>
          <w:tcPr>
            <w:tcW w:w="2700" w:type="dxa"/>
          </w:tcPr>
          <w:p>
            <w:pPr>
              <w:spacing w:line="240" w:lineRule="auto"/>
              <w:jc w:val="center"/>
              <w:rPr>
                <w:rFonts w:eastAsia="PMingLiU"/>
                <w:sz w:val="24"/>
                <w:szCs w:val="24"/>
              </w:rPr>
            </w:pPr>
            <w:r>
              <w:rPr>
                <w:rFonts w:eastAsia="PMingLiU"/>
                <w:sz w:val="24"/>
                <w:szCs w:val="24"/>
              </w:rPr>
              <w:t>10</w:t>
            </w:r>
          </w:p>
        </w:tc>
        <w:tc>
          <w:tcPr>
            <w:tcW w:w="2700" w:type="dxa"/>
          </w:tcPr>
          <w:p>
            <w:pPr>
              <w:spacing w:line="240" w:lineRule="auto"/>
              <w:jc w:val="center"/>
              <w:rPr>
                <w:rFonts w:eastAsia="PMingLiU"/>
                <w:sz w:val="24"/>
                <w:szCs w:val="24"/>
              </w:rPr>
            </w:pPr>
          </w:p>
        </w:tc>
      </w:tr>
      <w:tr>
        <w:tc>
          <w:tcPr>
            <w:tcW w:w="2700" w:type="dxa"/>
          </w:tcPr>
          <w:p>
            <w:pPr>
              <w:spacing w:line="240" w:lineRule="auto"/>
              <w:jc w:val="center"/>
              <w:rPr>
                <w:rFonts w:eastAsia="PMingLiU"/>
                <w:sz w:val="24"/>
                <w:szCs w:val="24"/>
              </w:rPr>
            </w:pPr>
            <w:r>
              <w:rPr>
                <w:rFonts w:eastAsia="PMingLiU"/>
                <w:sz w:val="24"/>
                <w:szCs w:val="24"/>
              </w:rPr>
              <w:lastRenderedPageBreak/>
              <w:t>[…]</w:t>
            </w:r>
          </w:p>
        </w:tc>
        <w:tc>
          <w:tcPr>
            <w:tcW w:w="2700" w:type="dxa"/>
          </w:tcPr>
          <w:p>
            <w:pPr>
              <w:spacing w:line="240" w:lineRule="auto"/>
              <w:jc w:val="center"/>
              <w:rPr>
                <w:rFonts w:eastAsia="PMingLiU"/>
                <w:sz w:val="24"/>
                <w:szCs w:val="24"/>
              </w:rPr>
            </w:pPr>
          </w:p>
        </w:tc>
      </w:tr>
      <w:bookmarkEnd w:id="0"/>
    </w:tbl>
    <w:p>
      <w:pPr>
        <w:sectPr>
          <w:footerReference w:type="default" r:id="rId26"/>
          <w:pgSz w:w="12240" w:h="15840"/>
          <w:pgMar w:top="1440" w:right="1440" w:bottom="1440" w:left="1440" w:header="720" w:footer="720" w:gutter="0"/>
          <w:pgNumType w:start="1"/>
          <w:cols w:space="720"/>
          <w:docGrid w:linePitch="360"/>
        </w:sectPr>
      </w:pPr>
    </w:p>
    <w:tbl>
      <w:tblPr>
        <w:tblStyle w:val="TableGrid"/>
        <w:tblpPr w:leftFromText="180" w:rightFromText="180" w:vertAnchor="page" w:horzAnchor="margin" w:tblpY="2961"/>
        <w:tblW w:w="0" w:type="auto"/>
        <w:tblLook w:val="04A0" w:firstRow="1" w:lastRow="0" w:firstColumn="1" w:lastColumn="0" w:noHBand="0" w:noVBand="1"/>
      </w:tblPr>
      <w:tblGrid>
        <w:gridCol w:w="1870"/>
        <w:gridCol w:w="1870"/>
        <w:gridCol w:w="1870"/>
        <w:gridCol w:w="1870"/>
        <w:gridCol w:w="1870"/>
      </w:tblGrid>
      <w:tr>
        <w:tc>
          <w:tcPr>
            <w:tcW w:w="1870" w:type="dxa"/>
            <w:tcBorders>
              <w:top w:val="single" w:sz="4" w:space="0" w:color="auto"/>
              <w:left w:val="single" w:sz="4" w:space="0" w:color="auto"/>
              <w:bottom w:val="single" w:sz="4" w:space="0" w:color="auto"/>
              <w:right w:val="single" w:sz="4" w:space="0" w:color="auto"/>
            </w:tcBorders>
            <w:vAlign w:val="center"/>
            <w:hideMark/>
          </w:tcPr>
          <w:p>
            <w:pPr>
              <w:spacing w:before="120" w:after="120"/>
              <w:ind w:firstLine="0"/>
              <w:jc w:val="center"/>
              <w:rPr>
                <w:b/>
                <w:bCs/>
                <w:sz w:val="20"/>
                <w:szCs w:val="20"/>
              </w:rPr>
            </w:pPr>
            <w:r>
              <w:rPr>
                <w:b/>
                <w:bCs/>
                <w:sz w:val="20"/>
                <w:szCs w:val="20"/>
              </w:rPr>
              <w:lastRenderedPageBreak/>
              <w:t>Category</w:t>
            </w:r>
          </w:p>
        </w:tc>
        <w:tc>
          <w:tcPr>
            <w:tcW w:w="1870" w:type="dxa"/>
            <w:tcBorders>
              <w:top w:val="single" w:sz="4" w:space="0" w:color="auto"/>
              <w:left w:val="single" w:sz="4" w:space="0" w:color="auto"/>
              <w:bottom w:val="single" w:sz="4" w:space="0" w:color="auto"/>
              <w:right w:val="single" w:sz="4" w:space="0" w:color="auto"/>
            </w:tcBorders>
            <w:vAlign w:val="center"/>
            <w:hideMark/>
          </w:tcPr>
          <w:p>
            <w:pPr>
              <w:spacing w:before="120" w:after="120"/>
              <w:ind w:firstLine="0"/>
              <w:jc w:val="center"/>
              <w:rPr>
                <w:b/>
                <w:bCs/>
                <w:sz w:val="20"/>
                <w:szCs w:val="20"/>
              </w:rPr>
            </w:pPr>
            <w:r>
              <w:rPr>
                <w:b/>
                <w:bCs/>
                <w:sz w:val="20"/>
                <w:szCs w:val="20"/>
              </w:rPr>
              <w:t>Metric</w:t>
            </w:r>
          </w:p>
        </w:tc>
        <w:tc>
          <w:tcPr>
            <w:tcW w:w="1870" w:type="dxa"/>
            <w:tcBorders>
              <w:top w:val="single" w:sz="4" w:space="0" w:color="auto"/>
              <w:left w:val="single" w:sz="4" w:space="0" w:color="auto"/>
              <w:bottom w:val="single" w:sz="4" w:space="0" w:color="auto"/>
              <w:right w:val="single" w:sz="4" w:space="0" w:color="auto"/>
            </w:tcBorders>
            <w:vAlign w:val="center"/>
            <w:hideMark/>
          </w:tcPr>
          <w:p>
            <w:pPr>
              <w:spacing w:before="120" w:after="120"/>
              <w:ind w:firstLine="0"/>
              <w:jc w:val="center"/>
              <w:rPr>
                <w:b/>
                <w:bCs/>
                <w:sz w:val="20"/>
                <w:szCs w:val="20"/>
              </w:rPr>
            </w:pPr>
            <w:r>
              <w:rPr>
                <w:b/>
                <w:bCs/>
                <w:sz w:val="20"/>
                <w:szCs w:val="20"/>
              </w:rPr>
              <w:t>2025</w:t>
            </w:r>
          </w:p>
        </w:tc>
        <w:tc>
          <w:tcPr>
            <w:tcW w:w="1870" w:type="dxa"/>
            <w:tcBorders>
              <w:top w:val="single" w:sz="4" w:space="0" w:color="auto"/>
              <w:left w:val="single" w:sz="4" w:space="0" w:color="auto"/>
              <w:bottom w:val="single" w:sz="4" w:space="0" w:color="auto"/>
              <w:right w:val="single" w:sz="4" w:space="0" w:color="auto"/>
            </w:tcBorders>
            <w:vAlign w:val="center"/>
            <w:hideMark/>
          </w:tcPr>
          <w:p>
            <w:pPr>
              <w:spacing w:before="120" w:after="120"/>
              <w:ind w:firstLine="0"/>
              <w:jc w:val="center"/>
              <w:rPr>
                <w:b/>
                <w:bCs/>
                <w:sz w:val="20"/>
                <w:szCs w:val="20"/>
              </w:rPr>
            </w:pPr>
            <w:r>
              <w:rPr>
                <w:b/>
                <w:bCs/>
                <w:sz w:val="20"/>
                <w:szCs w:val="20"/>
              </w:rPr>
              <w:t>2026</w:t>
            </w:r>
          </w:p>
        </w:tc>
        <w:tc>
          <w:tcPr>
            <w:tcW w:w="1870" w:type="dxa"/>
            <w:tcBorders>
              <w:top w:val="single" w:sz="4" w:space="0" w:color="auto"/>
              <w:left w:val="single" w:sz="4" w:space="0" w:color="auto"/>
              <w:bottom w:val="single" w:sz="4" w:space="0" w:color="auto"/>
              <w:right w:val="single" w:sz="4" w:space="0" w:color="auto"/>
            </w:tcBorders>
            <w:vAlign w:val="center"/>
            <w:hideMark/>
          </w:tcPr>
          <w:p>
            <w:pPr>
              <w:spacing w:before="120" w:after="120"/>
              <w:ind w:firstLine="0"/>
              <w:jc w:val="center"/>
              <w:rPr>
                <w:b/>
                <w:bCs/>
                <w:sz w:val="20"/>
                <w:szCs w:val="20"/>
              </w:rPr>
            </w:pPr>
            <w:r>
              <w:rPr>
                <w:b/>
                <w:bCs/>
                <w:sz w:val="20"/>
                <w:szCs w:val="20"/>
              </w:rPr>
              <w:t>2027</w:t>
            </w:r>
          </w:p>
        </w:tc>
      </w:tr>
      <w:tr>
        <w:tc>
          <w:tcPr>
            <w:tcW w:w="1870" w:type="dxa"/>
            <w:tcBorders>
              <w:top w:val="single" w:sz="4" w:space="0" w:color="auto"/>
              <w:left w:val="single" w:sz="4" w:space="0" w:color="auto"/>
              <w:bottom w:val="single" w:sz="4" w:space="0" w:color="auto"/>
              <w:right w:val="single" w:sz="4" w:space="0" w:color="auto"/>
            </w:tcBorders>
            <w:vAlign w:val="center"/>
            <w:hideMark/>
          </w:tcPr>
          <w:p>
            <w:pPr>
              <w:ind w:firstLine="0"/>
              <w:jc w:val="left"/>
              <w:rPr>
                <w:b/>
                <w:bCs/>
                <w:sz w:val="20"/>
                <w:szCs w:val="20"/>
              </w:rPr>
            </w:pPr>
            <w:r>
              <w:rPr>
                <w:sz w:val="20"/>
                <w:szCs w:val="20"/>
              </w:rPr>
              <w:t>Non-energy benefits</w:t>
            </w:r>
          </w:p>
        </w:tc>
        <w:tc>
          <w:tcPr>
            <w:tcW w:w="1870" w:type="dxa"/>
            <w:tcBorders>
              <w:top w:val="single" w:sz="4" w:space="0" w:color="auto"/>
              <w:left w:val="single" w:sz="4" w:space="0" w:color="auto"/>
              <w:bottom w:val="single" w:sz="4" w:space="0" w:color="auto"/>
              <w:right w:val="single" w:sz="4" w:space="0" w:color="auto"/>
            </w:tcBorders>
            <w:vAlign w:val="center"/>
            <w:hideMark/>
          </w:tcPr>
          <w:p>
            <w:pPr>
              <w:ind w:firstLine="0"/>
              <w:jc w:val="left"/>
              <w:rPr>
                <w:b/>
                <w:bCs/>
                <w:sz w:val="20"/>
                <w:szCs w:val="20"/>
              </w:rPr>
            </w:pPr>
            <w:r>
              <w:rPr>
                <w:sz w:val="20"/>
                <w:szCs w:val="20"/>
              </w:rPr>
              <w:t>Number of jobs created for residents of highly impacted and vulnerable populations</w:t>
            </w: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r>
      <w:tr>
        <w:tc>
          <w:tcPr>
            <w:tcW w:w="1870" w:type="dxa"/>
            <w:tcBorders>
              <w:top w:val="single" w:sz="4" w:space="0" w:color="auto"/>
              <w:left w:val="single" w:sz="4" w:space="0" w:color="auto"/>
              <w:bottom w:val="single" w:sz="4" w:space="0" w:color="auto"/>
              <w:right w:val="single" w:sz="4" w:space="0" w:color="auto"/>
            </w:tcBorders>
            <w:vAlign w:val="center"/>
            <w:hideMark/>
          </w:tcPr>
          <w:p>
            <w:pPr>
              <w:ind w:firstLine="0"/>
              <w:jc w:val="left"/>
              <w:rPr>
                <w:b/>
                <w:bCs/>
                <w:sz w:val="20"/>
                <w:szCs w:val="20"/>
              </w:rPr>
            </w:pPr>
            <w:r>
              <w:rPr>
                <w:sz w:val="20"/>
                <w:szCs w:val="20"/>
              </w:rPr>
              <w:t>Non-energy benefits</w:t>
            </w:r>
          </w:p>
        </w:tc>
        <w:tc>
          <w:tcPr>
            <w:tcW w:w="1870" w:type="dxa"/>
            <w:tcBorders>
              <w:top w:val="single" w:sz="4" w:space="0" w:color="auto"/>
              <w:left w:val="single" w:sz="4" w:space="0" w:color="auto"/>
              <w:bottom w:val="single" w:sz="4" w:space="0" w:color="auto"/>
              <w:right w:val="single" w:sz="4" w:space="0" w:color="auto"/>
            </w:tcBorders>
            <w:vAlign w:val="center"/>
            <w:hideMark/>
          </w:tcPr>
          <w:p>
            <w:pPr>
              <w:ind w:firstLine="0"/>
              <w:jc w:val="left"/>
              <w:rPr>
                <w:b/>
                <w:bCs/>
                <w:sz w:val="20"/>
                <w:szCs w:val="20"/>
              </w:rPr>
            </w:pPr>
            <w:r>
              <w:rPr>
                <w:sz w:val="20"/>
                <w:szCs w:val="20"/>
              </w:rPr>
              <w:t>Number of local workers living in the community where the project is being built</w:t>
            </w: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r>
      <w:tr>
        <w:tc>
          <w:tcPr>
            <w:tcW w:w="1870" w:type="dxa"/>
            <w:tcBorders>
              <w:top w:val="single" w:sz="4" w:space="0" w:color="auto"/>
              <w:left w:val="single" w:sz="4" w:space="0" w:color="auto"/>
              <w:bottom w:val="single" w:sz="4" w:space="0" w:color="auto"/>
              <w:right w:val="single" w:sz="4" w:space="0" w:color="auto"/>
            </w:tcBorders>
            <w:vAlign w:val="center"/>
            <w:hideMark/>
          </w:tcPr>
          <w:p>
            <w:pPr>
              <w:ind w:firstLine="0"/>
              <w:jc w:val="left"/>
              <w:rPr>
                <w:b/>
                <w:bCs/>
                <w:sz w:val="20"/>
                <w:szCs w:val="20"/>
              </w:rPr>
            </w:pPr>
            <w:r>
              <w:rPr>
                <w:sz w:val="20"/>
                <w:szCs w:val="20"/>
              </w:rPr>
              <w:t>Non-energy benefits</w:t>
            </w:r>
          </w:p>
        </w:tc>
        <w:tc>
          <w:tcPr>
            <w:tcW w:w="1870" w:type="dxa"/>
            <w:tcBorders>
              <w:top w:val="single" w:sz="4" w:space="0" w:color="auto"/>
              <w:left w:val="single" w:sz="4" w:space="0" w:color="auto"/>
              <w:bottom w:val="single" w:sz="4" w:space="0" w:color="auto"/>
              <w:right w:val="single" w:sz="4" w:space="0" w:color="auto"/>
            </w:tcBorders>
            <w:vAlign w:val="center"/>
            <w:hideMark/>
          </w:tcPr>
          <w:p>
            <w:pPr>
              <w:ind w:firstLine="0"/>
              <w:jc w:val="left"/>
              <w:rPr>
                <w:b/>
                <w:bCs/>
                <w:sz w:val="20"/>
                <w:szCs w:val="20"/>
              </w:rPr>
            </w:pPr>
            <w:r>
              <w:rPr>
                <w:sz w:val="20"/>
                <w:szCs w:val="20"/>
              </w:rPr>
              <w:t>Number of workers living in Washington state</w:t>
            </w: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r>
      <w:tr>
        <w:tc>
          <w:tcPr>
            <w:tcW w:w="1870" w:type="dxa"/>
            <w:tcBorders>
              <w:top w:val="single" w:sz="4" w:space="0" w:color="auto"/>
              <w:left w:val="single" w:sz="4" w:space="0" w:color="auto"/>
              <w:bottom w:val="single" w:sz="4" w:space="0" w:color="auto"/>
              <w:right w:val="single" w:sz="4" w:space="0" w:color="auto"/>
            </w:tcBorders>
            <w:vAlign w:val="center"/>
            <w:hideMark/>
          </w:tcPr>
          <w:p>
            <w:pPr>
              <w:ind w:firstLine="0"/>
              <w:jc w:val="left"/>
              <w:rPr>
                <w:b/>
                <w:bCs/>
                <w:sz w:val="20"/>
                <w:szCs w:val="20"/>
              </w:rPr>
            </w:pPr>
            <w:r>
              <w:rPr>
                <w:sz w:val="20"/>
                <w:szCs w:val="20"/>
              </w:rPr>
              <w:t>Non-energy benefits</w:t>
            </w:r>
          </w:p>
        </w:tc>
        <w:tc>
          <w:tcPr>
            <w:tcW w:w="1870" w:type="dxa"/>
            <w:tcBorders>
              <w:top w:val="single" w:sz="4" w:space="0" w:color="auto"/>
              <w:left w:val="single" w:sz="4" w:space="0" w:color="auto"/>
              <w:bottom w:val="single" w:sz="4" w:space="0" w:color="auto"/>
              <w:right w:val="single" w:sz="4" w:space="0" w:color="auto"/>
            </w:tcBorders>
            <w:vAlign w:val="center"/>
            <w:hideMark/>
          </w:tcPr>
          <w:p>
            <w:pPr>
              <w:ind w:firstLine="0"/>
              <w:jc w:val="left"/>
              <w:rPr>
                <w:b/>
                <w:bCs/>
                <w:sz w:val="20"/>
                <w:szCs w:val="20"/>
              </w:rPr>
            </w:pPr>
            <w:r>
              <w:rPr>
                <w:sz w:val="20"/>
                <w:szCs w:val="20"/>
              </w:rPr>
              <w:t>Number of part-time and full-time jobs by project</w:t>
            </w: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r>
      <w:tr>
        <w:tc>
          <w:tcPr>
            <w:tcW w:w="1870" w:type="dxa"/>
            <w:tcBorders>
              <w:top w:val="single" w:sz="4" w:space="0" w:color="auto"/>
              <w:left w:val="single" w:sz="4" w:space="0" w:color="auto"/>
              <w:bottom w:val="single" w:sz="4" w:space="0" w:color="auto"/>
              <w:right w:val="single" w:sz="4" w:space="0" w:color="auto"/>
            </w:tcBorders>
            <w:vAlign w:val="center"/>
            <w:hideMark/>
          </w:tcPr>
          <w:p>
            <w:pPr>
              <w:ind w:firstLine="0"/>
              <w:jc w:val="left"/>
              <w:rPr>
                <w:b/>
                <w:bCs/>
                <w:sz w:val="20"/>
                <w:szCs w:val="20"/>
              </w:rPr>
            </w:pPr>
            <w:r>
              <w:rPr>
                <w:sz w:val="20"/>
                <w:szCs w:val="20"/>
              </w:rPr>
              <w:t>Non-energy benefits</w:t>
            </w:r>
          </w:p>
        </w:tc>
        <w:tc>
          <w:tcPr>
            <w:tcW w:w="1870" w:type="dxa"/>
            <w:tcBorders>
              <w:top w:val="single" w:sz="4" w:space="0" w:color="auto"/>
              <w:left w:val="single" w:sz="4" w:space="0" w:color="auto"/>
              <w:bottom w:val="single" w:sz="4" w:space="0" w:color="auto"/>
              <w:right w:val="single" w:sz="4" w:space="0" w:color="auto"/>
            </w:tcBorders>
            <w:vAlign w:val="center"/>
            <w:hideMark/>
          </w:tcPr>
          <w:p>
            <w:pPr>
              <w:ind w:firstLine="0"/>
              <w:jc w:val="left"/>
              <w:rPr>
                <w:b/>
                <w:bCs/>
                <w:sz w:val="20"/>
                <w:szCs w:val="20"/>
              </w:rPr>
            </w:pPr>
            <w:r>
              <w:rPr>
                <w:sz w:val="20"/>
                <w:szCs w:val="20"/>
              </w:rPr>
              <w:t>Range of wages paid to workers and if they meet prevailing wage requirements</w:t>
            </w: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r>
      <w:tr>
        <w:tc>
          <w:tcPr>
            <w:tcW w:w="1870" w:type="dxa"/>
            <w:tcBorders>
              <w:top w:val="single" w:sz="4" w:space="0" w:color="auto"/>
              <w:left w:val="single" w:sz="4" w:space="0" w:color="auto"/>
              <w:bottom w:val="single" w:sz="4" w:space="0" w:color="auto"/>
              <w:right w:val="single" w:sz="4" w:space="0" w:color="auto"/>
            </w:tcBorders>
            <w:vAlign w:val="center"/>
            <w:hideMark/>
          </w:tcPr>
          <w:p>
            <w:pPr>
              <w:ind w:firstLine="0"/>
              <w:jc w:val="left"/>
              <w:rPr>
                <w:b/>
                <w:bCs/>
                <w:sz w:val="20"/>
                <w:szCs w:val="20"/>
              </w:rPr>
            </w:pPr>
            <w:r>
              <w:rPr>
                <w:sz w:val="20"/>
                <w:szCs w:val="20"/>
              </w:rPr>
              <w:t>Non-energy benefits</w:t>
            </w:r>
          </w:p>
        </w:tc>
        <w:tc>
          <w:tcPr>
            <w:tcW w:w="1870" w:type="dxa"/>
            <w:tcBorders>
              <w:top w:val="single" w:sz="4" w:space="0" w:color="auto"/>
              <w:left w:val="single" w:sz="4" w:space="0" w:color="auto"/>
              <w:bottom w:val="single" w:sz="4" w:space="0" w:color="auto"/>
              <w:right w:val="single" w:sz="4" w:space="0" w:color="auto"/>
            </w:tcBorders>
            <w:vAlign w:val="center"/>
            <w:hideMark/>
          </w:tcPr>
          <w:p>
            <w:pPr>
              <w:ind w:firstLine="0"/>
              <w:jc w:val="left"/>
              <w:rPr>
                <w:b/>
                <w:bCs/>
                <w:sz w:val="20"/>
                <w:szCs w:val="20"/>
              </w:rPr>
            </w:pPr>
            <w:r>
              <w:rPr>
                <w:sz w:val="20"/>
                <w:szCs w:val="20"/>
              </w:rPr>
              <w:t>Demographics of workers</w:t>
            </w: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r>
      <w:tr>
        <w:tc>
          <w:tcPr>
            <w:tcW w:w="1870" w:type="dxa"/>
            <w:tcBorders>
              <w:top w:val="single" w:sz="4" w:space="0" w:color="auto"/>
              <w:left w:val="single" w:sz="4" w:space="0" w:color="auto"/>
              <w:bottom w:val="single" w:sz="4" w:space="0" w:color="auto"/>
              <w:right w:val="single" w:sz="4" w:space="0" w:color="auto"/>
            </w:tcBorders>
            <w:hideMark/>
          </w:tcPr>
          <w:p>
            <w:pPr>
              <w:ind w:firstLine="0"/>
              <w:jc w:val="left"/>
              <w:rPr>
                <w:sz w:val="20"/>
                <w:szCs w:val="20"/>
              </w:rPr>
            </w:pPr>
            <w:r>
              <w:rPr>
                <w:sz w:val="20"/>
                <w:szCs w:val="20"/>
              </w:rPr>
              <w:t>Non-energy benefits</w:t>
            </w:r>
          </w:p>
        </w:tc>
        <w:tc>
          <w:tcPr>
            <w:tcW w:w="1870" w:type="dxa"/>
            <w:tcBorders>
              <w:top w:val="single" w:sz="4" w:space="0" w:color="auto"/>
              <w:left w:val="single" w:sz="4" w:space="0" w:color="auto"/>
              <w:bottom w:val="single" w:sz="4" w:space="0" w:color="auto"/>
              <w:right w:val="single" w:sz="4" w:space="0" w:color="auto"/>
            </w:tcBorders>
            <w:hideMark/>
          </w:tcPr>
          <w:p>
            <w:pPr>
              <w:ind w:firstLine="0"/>
              <w:jc w:val="left"/>
              <w:rPr>
                <w:sz w:val="20"/>
                <w:szCs w:val="20"/>
              </w:rPr>
            </w:pPr>
            <w:r>
              <w:rPr>
                <w:sz w:val="20"/>
                <w:szCs w:val="20"/>
              </w:rPr>
              <w:t>Dollar amount sub-contracted to small business and minority, women and veteran owned business enterprises (SMWVBE)</w:t>
            </w: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r>
      <w:tr>
        <w:tc>
          <w:tcPr>
            <w:tcW w:w="1870" w:type="dxa"/>
            <w:tcBorders>
              <w:top w:val="single" w:sz="4" w:space="0" w:color="auto"/>
              <w:left w:val="single" w:sz="4" w:space="0" w:color="auto"/>
              <w:bottom w:val="single" w:sz="4" w:space="0" w:color="auto"/>
              <w:right w:val="single" w:sz="4" w:space="0" w:color="auto"/>
            </w:tcBorders>
            <w:hideMark/>
          </w:tcPr>
          <w:p>
            <w:pPr>
              <w:ind w:firstLine="0"/>
              <w:jc w:val="left"/>
              <w:rPr>
                <w:sz w:val="20"/>
                <w:szCs w:val="20"/>
              </w:rPr>
            </w:pPr>
            <w:r>
              <w:rPr>
                <w:sz w:val="20"/>
                <w:szCs w:val="20"/>
              </w:rPr>
              <w:t>Non-energy benefits</w:t>
            </w:r>
          </w:p>
        </w:tc>
        <w:tc>
          <w:tcPr>
            <w:tcW w:w="1870" w:type="dxa"/>
            <w:tcBorders>
              <w:top w:val="single" w:sz="4" w:space="0" w:color="auto"/>
              <w:left w:val="single" w:sz="4" w:space="0" w:color="auto"/>
              <w:bottom w:val="single" w:sz="4" w:space="0" w:color="auto"/>
              <w:right w:val="single" w:sz="4" w:space="0" w:color="auto"/>
            </w:tcBorders>
            <w:hideMark/>
          </w:tcPr>
          <w:p>
            <w:pPr>
              <w:ind w:firstLine="0"/>
              <w:jc w:val="left"/>
              <w:rPr>
                <w:sz w:val="20"/>
                <w:szCs w:val="20"/>
              </w:rPr>
            </w:pPr>
            <w:r>
              <w:rPr>
                <w:sz w:val="20"/>
                <w:szCs w:val="20"/>
              </w:rPr>
              <w:t>Property taxes paid annually</w:t>
            </w: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r>
      <w:tr>
        <w:tc>
          <w:tcPr>
            <w:tcW w:w="1870" w:type="dxa"/>
            <w:tcBorders>
              <w:top w:val="single" w:sz="4" w:space="0" w:color="auto"/>
              <w:left w:val="single" w:sz="4" w:space="0" w:color="auto"/>
              <w:bottom w:val="single" w:sz="4" w:space="0" w:color="auto"/>
              <w:right w:val="single" w:sz="4" w:space="0" w:color="auto"/>
            </w:tcBorders>
            <w:vAlign w:val="center"/>
            <w:hideMark/>
          </w:tcPr>
          <w:p>
            <w:pPr>
              <w:ind w:firstLine="0"/>
              <w:jc w:val="left"/>
              <w:rPr>
                <w:sz w:val="20"/>
                <w:szCs w:val="20"/>
              </w:rPr>
            </w:pPr>
            <w:r>
              <w:rPr>
                <w:sz w:val="20"/>
                <w:szCs w:val="20"/>
              </w:rPr>
              <w:t>Non-energy benefits</w:t>
            </w:r>
          </w:p>
        </w:tc>
        <w:tc>
          <w:tcPr>
            <w:tcW w:w="1870" w:type="dxa"/>
            <w:tcBorders>
              <w:top w:val="single" w:sz="4" w:space="0" w:color="auto"/>
              <w:left w:val="single" w:sz="4" w:space="0" w:color="auto"/>
              <w:bottom w:val="single" w:sz="4" w:space="0" w:color="auto"/>
              <w:right w:val="single" w:sz="4" w:space="0" w:color="auto"/>
            </w:tcBorders>
            <w:vAlign w:val="center"/>
            <w:hideMark/>
          </w:tcPr>
          <w:p>
            <w:pPr>
              <w:ind w:firstLine="0"/>
              <w:jc w:val="left"/>
              <w:rPr>
                <w:sz w:val="20"/>
                <w:szCs w:val="20"/>
              </w:rPr>
            </w:pPr>
            <w:r>
              <w:rPr>
                <w:sz w:val="20"/>
                <w:szCs w:val="20"/>
              </w:rPr>
              <w:t>Additional benefits (See Section 21)</w:t>
            </w: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pPr>
              <w:ind w:firstLine="0"/>
              <w:jc w:val="left"/>
              <w:rPr>
                <w:b/>
                <w:bCs/>
                <w:sz w:val="20"/>
                <w:szCs w:val="20"/>
              </w:rPr>
            </w:pPr>
          </w:p>
        </w:tc>
      </w:tr>
    </w:tbl>
    <w:p>
      <w:pPr>
        <w:jc w:val="center"/>
        <w:rPr>
          <w:b/>
          <w:bCs/>
        </w:rPr>
      </w:pPr>
      <w:r>
        <w:rPr>
          <w:b/>
          <w:bCs/>
        </w:rPr>
        <w:t>APPENEDIX I – FORM OF CETA EQUITY REPORT</w:t>
      </w:r>
    </w:p>
    <w:sectPr>
      <w:footerReference w:type="defaul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DocID"/>
    </w:pPr>
    <w:bookmarkStart w:id="10" w:name="_iDocIDFieldc956ca34-59bd-46cc-a25a-b028"/>
    <w:r>
      <w:t>4876-3733-6716.v2</w:t>
    </w:r>
    <w:bookmarkEnd w:id="10"/>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680"/>
        <w:tab w:val="right" w:pos="2880"/>
      </w:tabs>
      <w:spacing w:before="240"/>
      <w:ind w:firstLine="0"/>
      <w:jc w:val="left"/>
      <w:rPr>
        <w:sz w:val="20"/>
        <w:szCs w:val="20"/>
      </w:rPr>
    </w:pPr>
    <w:r>
      <w:rPr>
        <w:sz w:val="20"/>
        <w:szCs w:val="20"/>
      </w:rPr>
      <w:t>Appendix F (Form of Seller’s Guaranty) to the</w:t>
    </w:r>
    <w:r>
      <w:rPr>
        <w:sz w:val="20"/>
        <w:szCs w:val="20"/>
      </w:rPr>
      <w:tab/>
      <w:t>Page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3</w:t>
    </w:r>
    <w:r>
      <w:rPr>
        <w:noProof/>
        <w:sz w:val="20"/>
        <w:szCs w:val="20"/>
      </w:rPr>
      <w:fldChar w:fldCharType="end"/>
    </w:r>
    <w:r>
      <w:rPr>
        <w:noProof/>
        <w:sz w:val="20"/>
        <w:szCs w:val="20"/>
      </w:rPr>
      <w:t xml:space="preserve"> of </w:t>
    </w:r>
    <w:r>
      <w:rPr>
        <w:noProof/>
        <w:sz w:val="20"/>
        <w:szCs w:val="20"/>
      </w:rPr>
      <w:fldChar w:fldCharType="begin"/>
    </w:r>
    <w:r>
      <w:rPr>
        <w:noProof/>
        <w:sz w:val="20"/>
        <w:szCs w:val="20"/>
      </w:rPr>
      <w:instrText xml:space="preserve"> SECTIONPAGES  \* Arabic  \* MERGEFORMAT </w:instrText>
    </w:r>
    <w:r>
      <w:rPr>
        <w:noProof/>
        <w:sz w:val="20"/>
        <w:szCs w:val="20"/>
      </w:rPr>
      <w:fldChar w:fldCharType="separate"/>
    </w:r>
    <w:r>
      <w:rPr>
        <w:noProof/>
        <w:sz w:val="20"/>
        <w:szCs w:val="20"/>
      </w:rPr>
      <w:t>5</w:t>
    </w:r>
    <w:r>
      <w:rPr>
        <w:noProof/>
        <w:sz w:val="20"/>
        <w:szCs w:val="20"/>
      </w:rPr>
      <w:fldChar w:fldCharType="end"/>
    </w:r>
    <w:r>
      <w:rPr>
        <w:sz w:val="20"/>
        <w:szCs w:val="20"/>
      </w:rPr>
      <w:br/>
      <w:t>Distributed Energy Resource Power Purchase Agreement</w:t>
    </w:r>
    <w:r>
      <w:rPr>
        <w:sz w:val="20"/>
        <w:szCs w:val="20"/>
      </w:rPr>
      <w:br/>
      <w:t>between Puget Sound Energy, Inc. and</w:t>
    </w:r>
    <w:r>
      <w:rPr>
        <w:sz w:val="20"/>
        <w:szCs w:val="20"/>
      </w:rPr>
      <w:br/>
      <w:t>[</w:t>
    </w:r>
    <w:r>
      <w:rPr>
        <w:sz w:val="20"/>
        <w:szCs w:val="20"/>
        <w:u w:val="single"/>
      </w:rPr>
      <w:tab/>
      <w:t>]</w:t>
    </w:r>
  </w:p>
  <w:p>
    <w:pPr>
      <w:pStyle w:val="DocID"/>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680"/>
        <w:tab w:val="right" w:pos="2880"/>
      </w:tabs>
      <w:spacing w:before="240"/>
      <w:ind w:firstLine="0"/>
      <w:jc w:val="left"/>
      <w:rPr>
        <w:sz w:val="20"/>
        <w:szCs w:val="20"/>
      </w:rPr>
    </w:pPr>
    <w:r>
      <w:rPr>
        <w:sz w:val="20"/>
        <w:szCs w:val="20"/>
      </w:rPr>
      <w:t>Appendix G (Form of Letter of Credit) to the</w:t>
    </w:r>
    <w:r>
      <w:rPr>
        <w:sz w:val="20"/>
        <w:szCs w:val="20"/>
      </w:rPr>
      <w:tab/>
      <w:t>Page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4</w:t>
    </w:r>
    <w:r>
      <w:rPr>
        <w:noProof/>
        <w:sz w:val="20"/>
        <w:szCs w:val="20"/>
      </w:rPr>
      <w:fldChar w:fldCharType="end"/>
    </w:r>
    <w:r>
      <w:rPr>
        <w:noProof/>
        <w:sz w:val="20"/>
        <w:szCs w:val="20"/>
      </w:rPr>
      <w:t xml:space="preserve"> of </w:t>
    </w:r>
    <w:r>
      <w:rPr>
        <w:noProof/>
        <w:sz w:val="20"/>
        <w:szCs w:val="20"/>
      </w:rPr>
      <w:fldChar w:fldCharType="begin"/>
    </w:r>
    <w:r>
      <w:rPr>
        <w:noProof/>
        <w:sz w:val="20"/>
        <w:szCs w:val="20"/>
      </w:rPr>
      <w:instrText xml:space="preserve"> SECTIONPAGES  \* Arabic  \* MERGEFORMAT </w:instrText>
    </w:r>
    <w:r>
      <w:rPr>
        <w:noProof/>
        <w:sz w:val="20"/>
        <w:szCs w:val="20"/>
      </w:rPr>
      <w:fldChar w:fldCharType="separate"/>
    </w:r>
    <w:r>
      <w:rPr>
        <w:noProof/>
        <w:sz w:val="20"/>
        <w:szCs w:val="20"/>
      </w:rPr>
      <w:t>5</w:t>
    </w:r>
    <w:r>
      <w:rPr>
        <w:noProof/>
        <w:sz w:val="20"/>
        <w:szCs w:val="20"/>
      </w:rPr>
      <w:fldChar w:fldCharType="end"/>
    </w:r>
    <w:r>
      <w:rPr>
        <w:sz w:val="20"/>
        <w:szCs w:val="20"/>
      </w:rPr>
      <w:br/>
      <w:t>Distributed Energy Resource Power Purchase Agreement</w:t>
    </w:r>
    <w:r>
      <w:rPr>
        <w:sz w:val="20"/>
        <w:szCs w:val="20"/>
      </w:rPr>
      <w:br/>
      <w:t>between Puget Sound Energy, Inc. and</w:t>
    </w:r>
    <w:r>
      <w:rPr>
        <w:sz w:val="20"/>
        <w:szCs w:val="20"/>
      </w:rPr>
      <w:br/>
      <w:t>[</w:t>
    </w:r>
    <w:r>
      <w:rPr>
        <w:sz w:val="20"/>
        <w:szCs w:val="20"/>
        <w:u w:val="single"/>
      </w:rPr>
      <w:tab/>
      <w:t>]</w:t>
    </w:r>
  </w:p>
  <w:p>
    <w:pPr>
      <w:pStyle w:val="DocID"/>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680"/>
        <w:tab w:val="right" w:pos="2880"/>
      </w:tabs>
      <w:spacing w:before="240"/>
      <w:ind w:firstLine="0"/>
      <w:jc w:val="left"/>
      <w:rPr>
        <w:sz w:val="20"/>
        <w:szCs w:val="20"/>
      </w:rPr>
    </w:pPr>
    <w:r>
      <w:rPr>
        <w:sz w:val="20"/>
        <w:szCs w:val="20"/>
      </w:rPr>
      <w:t>Appendix H (Performance Guarantees) to the</w:t>
    </w:r>
    <w:r>
      <w:rPr>
        <w:sz w:val="20"/>
        <w:szCs w:val="20"/>
      </w:rPr>
      <w:tab/>
      <w:t>Page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w:t>
    </w:r>
    <w:r>
      <w:rPr>
        <w:noProof/>
        <w:sz w:val="20"/>
        <w:szCs w:val="20"/>
      </w:rPr>
      <w:fldChar w:fldCharType="end"/>
    </w:r>
    <w:r>
      <w:rPr>
        <w:noProof/>
        <w:sz w:val="20"/>
        <w:szCs w:val="20"/>
      </w:rPr>
      <w:t xml:space="preserve"> of </w:t>
    </w:r>
    <w:r>
      <w:rPr>
        <w:noProof/>
        <w:sz w:val="20"/>
        <w:szCs w:val="20"/>
      </w:rPr>
      <w:fldChar w:fldCharType="begin"/>
    </w:r>
    <w:r>
      <w:rPr>
        <w:noProof/>
        <w:sz w:val="20"/>
        <w:szCs w:val="20"/>
      </w:rPr>
      <w:instrText xml:space="preserve"> SECTIONPAGES  \* Arabic  \* MERGEFORMAT </w:instrText>
    </w:r>
    <w:r>
      <w:rPr>
        <w:noProof/>
        <w:sz w:val="20"/>
        <w:szCs w:val="20"/>
      </w:rPr>
      <w:fldChar w:fldCharType="separate"/>
    </w:r>
    <w:r>
      <w:rPr>
        <w:noProof/>
        <w:sz w:val="20"/>
        <w:szCs w:val="20"/>
      </w:rPr>
      <w:t>4</w:t>
    </w:r>
    <w:r>
      <w:rPr>
        <w:noProof/>
        <w:sz w:val="20"/>
        <w:szCs w:val="20"/>
      </w:rPr>
      <w:fldChar w:fldCharType="end"/>
    </w:r>
    <w:r>
      <w:rPr>
        <w:sz w:val="20"/>
        <w:szCs w:val="20"/>
      </w:rPr>
      <w:br/>
      <w:t>Distributed Energy Resource Power Purchase Agreement</w:t>
    </w:r>
    <w:r>
      <w:rPr>
        <w:sz w:val="20"/>
        <w:szCs w:val="20"/>
      </w:rPr>
      <w:br/>
      <w:t>between Puget Sound Energy, Inc. and</w:t>
    </w:r>
    <w:r>
      <w:rPr>
        <w:sz w:val="20"/>
        <w:szCs w:val="20"/>
      </w:rPr>
      <w:br/>
      <w:t>[</w:t>
    </w:r>
    <w:r>
      <w:rPr>
        <w:sz w:val="20"/>
        <w:szCs w:val="20"/>
        <w:u w:val="single"/>
      </w:rPr>
      <w:tab/>
      <w:t>]</w:t>
    </w:r>
  </w:p>
  <w:p>
    <w:pPr>
      <w:pStyle w:val="DocID"/>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680"/>
        <w:tab w:val="right" w:pos="2880"/>
      </w:tabs>
      <w:spacing w:before="240"/>
      <w:ind w:firstLine="0"/>
      <w:jc w:val="left"/>
      <w:rPr>
        <w:sz w:val="20"/>
        <w:szCs w:val="20"/>
      </w:rPr>
    </w:pPr>
    <w:r>
      <w:rPr>
        <w:sz w:val="20"/>
        <w:szCs w:val="20"/>
      </w:rPr>
      <w:t>Appendix I (Form of CETA Equity Report) to the</w:t>
    </w:r>
    <w:r>
      <w:rPr>
        <w:sz w:val="20"/>
        <w:szCs w:val="20"/>
      </w:rPr>
      <w:tab/>
      <w:t>Page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w:t>
    </w:r>
    <w:r>
      <w:rPr>
        <w:noProof/>
        <w:sz w:val="20"/>
        <w:szCs w:val="20"/>
      </w:rPr>
      <w:fldChar w:fldCharType="end"/>
    </w:r>
    <w:r>
      <w:rPr>
        <w:noProof/>
        <w:sz w:val="20"/>
        <w:szCs w:val="20"/>
      </w:rPr>
      <w:t xml:space="preserve"> of </w:t>
    </w:r>
    <w:r>
      <w:rPr>
        <w:noProof/>
        <w:sz w:val="20"/>
        <w:szCs w:val="20"/>
      </w:rPr>
      <w:fldChar w:fldCharType="begin"/>
    </w:r>
    <w:r>
      <w:rPr>
        <w:noProof/>
        <w:sz w:val="20"/>
        <w:szCs w:val="20"/>
      </w:rPr>
      <w:instrText xml:space="preserve"> SECTIONPAGES  \* Arabic  \* MERGEFORMAT </w:instrText>
    </w:r>
    <w:r>
      <w:rPr>
        <w:noProof/>
        <w:sz w:val="20"/>
        <w:szCs w:val="20"/>
      </w:rPr>
      <w:fldChar w:fldCharType="separate"/>
    </w:r>
    <w:r>
      <w:rPr>
        <w:noProof/>
        <w:sz w:val="20"/>
        <w:szCs w:val="20"/>
      </w:rPr>
      <w:t>1</w:t>
    </w:r>
    <w:r>
      <w:rPr>
        <w:noProof/>
        <w:sz w:val="20"/>
        <w:szCs w:val="20"/>
      </w:rPr>
      <w:fldChar w:fldCharType="end"/>
    </w:r>
    <w:r>
      <w:rPr>
        <w:sz w:val="20"/>
        <w:szCs w:val="20"/>
      </w:rPr>
      <w:br/>
      <w:t>Distributed Energy Resource Power Purchase Agreement</w:t>
    </w:r>
    <w:r>
      <w:rPr>
        <w:sz w:val="20"/>
        <w:szCs w:val="20"/>
      </w:rPr>
      <w:br/>
      <w:t>between Puget Sound Energy, Inc. and</w:t>
    </w:r>
    <w:r>
      <w:rPr>
        <w:sz w:val="20"/>
        <w:szCs w:val="20"/>
      </w:rPr>
      <w:br/>
      <w:t>[</w:t>
    </w:r>
    <w:r>
      <w:rPr>
        <w:sz w:val="20"/>
        <w:szCs w:val="20"/>
        <w:u w:val="single"/>
      </w:rPr>
      <w:tab/>
      <w:t>]</w:t>
    </w:r>
  </w:p>
  <w:p>
    <w:pPr>
      <w:pStyle w:val="DocI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680"/>
        <w:tab w:val="right" w:pos="2880"/>
      </w:tabs>
      <w:spacing w:before="240"/>
      <w:ind w:firstLine="0"/>
      <w:jc w:val="left"/>
      <w:rPr>
        <w:sz w:val="20"/>
        <w:szCs w:val="20"/>
      </w:rPr>
    </w:pPr>
    <w:r>
      <w:rPr>
        <w:sz w:val="20"/>
        <w:szCs w:val="20"/>
      </w:rPr>
      <w:t>Distributed Energy Resource Power Purchase Agreement</w:t>
    </w:r>
    <w:r>
      <w:rPr>
        <w:sz w:val="20"/>
        <w:szCs w:val="20"/>
      </w:rPr>
      <w:tab/>
      <w:t>Page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19</w:t>
    </w:r>
    <w:r>
      <w:rPr>
        <w:noProof/>
        <w:sz w:val="20"/>
        <w:szCs w:val="20"/>
      </w:rPr>
      <w:fldChar w:fldCharType="end"/>
    </w:r>
    <w:r>
      <w:rPr>
        <w:noProof/>
        <w:sz w:val="20"/>
        <w:szCs w:val="20"/>
      </w:rPr>
      <w:t xml:space="preserve"> of </w:t>
    </w:r>
    <w:r>
      <w:rPr>
        <w:noProof/>
        <w:sz w:val="20"/>
        <w:szCs w:val="20"/>
      </w:rPr>
      <w:fldChar w:fldCharType="begin"/>
    </w:r>
    <w:r>
      <w:rPr>
        <w:noProof/>
        <w:sz w:val="20"/>
        <w:szCs w:val="20"/>
      </w:rPr>
      <w:instrText xml:space="preserve"> SECTIONPAGES  \* Arabic  \* MERGEFORMAT </w:instrText>
    </w:r>
    <w:r>
      <w:rPr>
        <w:noProof/>
        <w:sz w:val="20"/>
        <w:szCs w:val="20"/>
      </w:rPr>
      <w:fldChar w:fldCharType="separate"/>
    </w:r>
    <w:r>
      <w:rPr>
        <w:noProof/>
        <w:sz w:val="20"/>
        <w:szCs w:val="20"/>
      </w:rPr>
      <w:t>32</w:t>
    </w:r>
    <w:r>
      <w:rPr>
        <w:noProof/>
        <w:sz w:val="20"/>
        <w:szCs w:val="20"/>
      </w:rPr>
      <w:fldChar w:fldCharType="end"/>
    </w:r>
    <w:r>
      <w:rPr>
        <w:sz w:val="20"/>
        <w:szCs w:val="20"/>
      </w:rPr>
      <w:br/>
      <w:t>between Puget Sound Energy, Inc. and []</w:t>
    </w:r>
  </w:p>
  <w:p>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680"/>
        <w:tab w:val="right" w:pos="2880"/>
      </w:tabs>
      <w:spacing w:before="240"/>
      <w:ind w:firstLine="0"/>
      <w:jc w:val="left"/>
      <w:rPr>
        <w:sz w:val="20"/>
        <w:szCs w:val="20"/>
      </w:rPr>
    </w:pPr>
    <w:r>
      <w:rPr>
        <w:sz w:val="20"/>
        <w:szCs w:val="20"/>
      </w:rPr>
      <w:t>Distributed Energy Resource Power Purchase Agreement</w:t>
    </w:r>
    <w:r>
      <w:rPr>
        <w:sz w:val="20"/>
        <w:szCs w:val="20"/>
      </w:rPr>
      <w:tab/>
      <w:t>Page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w:t>
    </w:r>
    <w:r>
      <w:rPr>
        <w:noProof/>
        <w:sz w:val="20"/>
        <w:szCs w:val="20"/>
      </w:rPr>
      <w:fldChar w:fldCharType="end"/>
    </w:r>
    <w:r>
      <w:rPr>
        <w:noProof/>
        <w:sz w:val="20"/>
        <w:szCs w:val="20"/>
      </w:rPr>
      <w:t xml:space="preserve"> of </w:t>
    </w:r>
    <w:r>
      <w:rPr>
        <w:noProof/>
        <w:sz w:val="20"/>
        <w:szCs w:val="20"/>
      </w:rPr>
      <w:fldChar w:fldCharType="begin"/>
    </w:r>
    <w:r>
      <w:rPr>
        <w:noProof/>
        <w:sz w:val="20"/>
        <w:szCs w:val="20"/>
      </w:rPr>
      <w:instrText xml:space="preserve"> SECTIONPAGES  \* Arabic  \* MERGEFORMAT </w:instrText>
    </w:r>
    <w:r>
      <w:rPr>
        <w:noProof/>
        <w:sz w:val="20"/>
        <w:szCs w:val="20"/>
      </w:rPr>
      <w:fldChar w:fldCharType="separate"/>
    </w:r>
    <w:r>
      <w:rPr>
        <w:noProof/>
        <w:sz w:val="20"/>
        <w:szCs w:val="20"/>
      </w:rPr>
      <w:t>32</w:t>
    </w:r>
    <w:r>
      <w:rPr>
        <w:noProof/>
        <w:sz w:val="20"/>
        <w:szCs w:val="20"/>
      </w:rPr>
      <w:fldChar w:fldCharType="end"/>
    </w:r>
    <w:r>
      <w:rPr>
        <w:sz w:val="20"/>
        <w:szCs w:val="20"/>
      </w:rPr>
      <w:br/>
      <w:t>between Puget Sound Energy, Inc. and</w:t>
    </w:r>
    <w:r>
      <w:rPr>
        <w:sz w:val="20"/>
        <w:szCs w:val="20"/>
      </w:rPr>
      <w:br/>
      <w:t>[</w:t>
    </w:r>
    <w:r>
      <w:rPr>
        <w:sz w:val="20"/>
        <w:szCs w:val="20"/>
        <w:u w:val="single"/>
      </w:rPr>
      <w:tab/>
      <w:t>]</w:t>
    </w:r>
  </w:p>
  <w:p>
    <w:pPr>
      <w:pStyle w:val="DocI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680"/>
        <w:tab w:val="right" w:pos="2880"/>
      </w:tabs>
      <w:spacing w:before="240"/>
      <w:ind w:firstLine="0"/>
      <w:jc w:val="left"/>
      <w:rPr>
        <w:sz w:val="20"/>
        <w:szCs w:val="20"/>
      </w:rPr>
    </w:pPr>
    <w:r>
      <w:rPr>
        <w:sz w:val="20"/>
        <w:szCs w:val="20"/>
      </w:rPr>
      <w:t>Distributed Energy Resource Power Purchase Agreement</w:t>
    </w:r>
    <w:r>
      <w:rPr>
        <w:sz w:val="20"/>
        <w:szCs w:val="20"/>
      </w:rPr>
      <w:tab/>
      <w:t>Signature Page</w:t>
    </w:r>
    <w:r>
      <w:rPr>
        <w:sz w:val="20"/>
        <w:szCs w:val="20"/>
      </w:rPr>
      <w:br/>
      <w:t>between Puget Sound Energy, Inc. and []</w:t>
    </w:r>
  </w:p>
  <w:p>
    <w:pPr>
      <w:pStyle w:val="DocI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680"/>
        <w:tab w:val="right" w:pos="2880"/>
      </w:tabs>
      <w:spacing w:before="240"/>
      <w:ind w:firstLine="0"/>
      <w:jc w:val="left"/>
      <w:rPr>
        <w:sz w:val="20"/>
        <w:szCs w:val="20"/>
      </w:rPr>
    </w:pPr>
    <w:r>
      <w:rPr>
        <w:sz w:val="20"/>
        <w:szCs w:val="20"/>
      </w:rPr>
      <w:t>Appendix A (Facility Description) to the</w:t>
    </w:r>
    <w:r>
      <w:rPr>
        <w:sz w:val="20"/>
        <w:szCs w:val="20"/>
      </w:rPr>
      <w:tab/>
      <w:t>Page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w:t>
    </w:r>
    <w:r>
      <w:rPr>
        <w:noProof/>
        <w:sz w:val="20"/>
        <w:szCs w:val="20"/>
      </w:rPr>
      <w:fldChar w:fldCharType="end"/>
    </w:r>
    <w:r>
      <w:rPr>
        <w:noProof/>
        <w:sz w:val="20"/>
        <w:szCs w:val="20"/>
      </w:rPr>
      <w:t xml:space="preserve"> of </w:t>
    </w:r>
    <w:r>
      <w:rPr>
        <w:noProof/>
        <w:sz w:val="20"/>
        <w:szCs w:val="20"/>
      </w:rPr>
      <w:fldChar w:fldCharType="begin"/>
    </w:r>
    <w:r>
      <w:rPr>
        <w:noProof/>
        <w:sz w:val="20"/>
        <w:szCs w:val="20"/>
      </w:rPr>
      <w:instrText xml:space="preserve"> SECTIONPAGES  \* Arabic  \* MERGEFORMAT </w:instrText>
    </w:r>
    <w:r>
      <w:rPr>
        <w:noProof/>
        <w:sz w:val="20"/>
        <w:szCs w:val="20"/>
      </w:rPr>
      <w:fldChar w:fldCharType="separate"/>
    </w:r>
    <w:r>
      <w:rPr>
        <w:noProof/>
        <w:sz w:val="20"/>
        <w:szCs w:val="20"/>
      </w:rPr>
      <w:t>4</w:t>
    </w:r>
    <w:r>
      <w:rPr>
        <w:noProof/>
        <w:sz w:val="20"/>
        <w:szCs w:val="20"/>
      </w:rPr>
      <w:fldChar w:fldCharType="end"/>
    </w:r>
    <w:r>
      <w:rPr>
        <w:sz w:val="20"/>
        <w:szCs w:val="20"/>
      </w:rPr>
      <w:br/>
      <w:t>Distributed Energy Resource Power Purchase Agreement</w:t>
    </w:r>
    <w:r>
      <w:rPr>
        <w:sz w:val="20"/>
        <w:szCs w:val="20"/>
      </w:rPr>
      <w:br/>
      <w:t>between Puget Sound Energy, Inc. and</w:t>
    </w:r>
    <w:r>
      <w:rPr>
        <w:sz w:val="20"/>
        <w:szCs w:val="20"/>
      </w:rPr>
      <w:br/>
      <w:t>[</w:t>
    </w:r>
    <w:r>
      <w:rPr>
        <w:sz w:val="20"/>
        <w:szCs w:val="20"/>
        <w:u w:val="single"/>
      </w:rPr>
      <w:tab/>
      <w:t>]</w:t>
    </w:r>
  </w:p>
  <w:p>
    <w:pPr>
      <w:pStyle w:val="DocID"/>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680"/>
        <w:tab w:val="right" w:pos="2880"/>
      </w:tabs>
      <w:spacing w:before="240"/>
      <w:ind w:firstLine="0"/>
      <w:jc w:val="left"/>
      <w:rPr>
        <w:sz w:val="20"/>
        <w:szCs w:val="20"/>
      </w:rPr>
    </w:pPr>
    <w:r>
      <w:rPr>
        <w:sz w:val="20"/>
        <w:szCs w:val="20"/>
      </w:rPr>
      <w:t>Appendix B (Price Schedule) to the</w:t>
    </w:r>
    <w:r>
      <w:rPr>
        <w:sz w:val="20"/>
        <w:szCs w:val="20"/>
      </w:rPr>
      <w:tab/>
    </w:r>
    <w:r>
      <w:rPr>
        <w:sz w:val="20"/>
        <w:szCs w:val="20"/>
      </w:rPr>
      <w:tab/>
      <w:t>Page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w:t>
    </w:r>
    <w:r>
      <w:rPr>
        <w:noProof/>
        <w:sz w:val="20"/>
        <w:szCs w:val="20"/>
      </w:rPr>
      <w:fldChar w:fldCharType="end"/>
    </w:r>
    <w:r>
      <w:rPr>
        <w:noProof/>
        <w:sz w:val="20"/>
        <w:szCs w:val="20"/>
      </w:rPr>
      <w:t xml:space="preserve"> of </w:t>
    </w:r>
    <w:r>
      <w:rPr>
        <w:noProof/>
        <w:sz w:val="20"/>
        <w:szCs w:val="20"/>
      </w:rPr>
      <w:fldChar w:fldCharType="begin"/>
    </w:r>
    <w:r>
      <w:rPr>
        <w:noProof/>
        <w:sz w:val="20"/>
        <w:szCs w:val="20"/>
      </w:rPr>
      <w:instrText xml:space="preserve"> SECTIONPAGES  \* Arabic  \* MERGEFORMAT </w:instrText>
    </w:r>
    <w:r>
      <w:rPr>
        <w:noProof/>
        <w:sz w:val="20"/>
        <w:szCs w:val="20"/>
      </w:rPr>
      <w:fldChar w:fldCharType="separate"/>
    </w:r>
    <w:r>
      <w:rPr>
        <w:noProof/>
        <w:sz w:val="20"/>
        <w:szCs w:val="20"/>
      </w:rPr>
      <w:t>1</w:t>
    </w:r>
    <w:r>
      <w:rPr>
        <w:noProof/>
        <w:sz w:val="20"/>
        <w:szCs w:val="20"/>
      </w:rPr>
      <w:fldChar w:fldCharType="end"/>
    </w:r>
    <w:r>
      <w:rPr>
        <w:sz w:val="20"/>
        <w:szCs w:val="20"/>
      </w:rPr>
      <w:br/>
      <w:t>Distributed Energy Resource Power Purchase Agreement</w:t>
    </w:r>
    <w:r>
      <w:rPr>
        <w:sz w:val="20"/>
        <w:szCs w:val="20"/>
      </w:rPr>
      <w:br/>
      <w:t>between Puget Sound Energy, Inc. and</w:t>
    </w:r>
    <w:r>
      <w:rPr>
        <w:sz w:val="20"/>
        <w:szCs w:val="20"/>
      </w:rPr>
      <w:br/>
      <w:t>[</w:t>
    </w:r>
    <w:r>
      <w:rPr>
        <w:sz w:val="20"/>
        <w:szCs w:val="20"/>
        <w:u w:val="single"/>
      </w:rPr>
      <w:tab/>
      <w:t>]</w:t>
    </w:r>
  </w:p>
  <w:p>
    <w:pPr>
      <w:pStyle w:val="DocID"/>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680"/>
        <w:tab w:val="right" w:pos="2880"/>
      </w:tabs>
      <w:spacing w:before="240"/>
      <w:ind w:firstLine="0"/>
      <w:jc w:val="left"/>
      <w:rPr>
        <w:sz w:val="20"/>
        <w:szCs w:val="20"/>
      </w:rPr>
    </w:pPr>
    <w:r>
      <w:rPr>
        <w:sz w:val="20"/>
        <w:szCs w:val="20"/>
      </w:rPr>
      <w:t>Appendix C (Commercial Operation Certificate) to the</w:t>
    </w:r>
    <w:r>
      <w:rPr>
        <w:sz w:val="20"/>
        <w:szCs w:val="20"/>
      </w:rPr>
      <w:tab/>
      <w:t>Page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w:t>
    </w:r>
    <w:r>
      <w:rPr>
        <w:noProof/>
        <w:sz w:val="20"/>
        <w:szCs w:val="20"/>
      </w:rPr>
      <w:fldChar w:fldCharType="end"/>
    </w:r>
    <w:r>
      <w:rPr>
        <w:noProof/>
        <w:sz w:val="20"/>
        <w:szCs w:val="20"/>
      </w:rPr>
      <w:t xml:space="preserve"> of </w:t>
    </w:r>
    <w:r>
      <w:rPr>
        <w:noProof/>
        <w:sz w:val="20"/>
        <w:szCs w:val="20"/>
      </w:rPr>
      <w:fldChar w:fldCharType="begin"/>
    </w:r>
    <w:r>
      <w:rPr>
        <w:noProof/>
        <w:sz w:val="20"/>
        <w:szCs w:val="20"/>
      </w:rPr>
      <w:instrText xml:space="preserve"> SECTIONPAGES  \* Arabic  \* MERGEFORMAT </w:instrText>
    </w:r>
    <w:r>
      <w:rPr>
        <w:noProof/>
        <w:sz w:val="20"/>
        <w:szCs w:val="20"/>
      </w:rPr>
      <w:fldChar w:fldCharType="separate"/>
    </w:r>
    <w:r>
      <w:rPr>
        <w:noProof/>
        <w:sz w:val="20"/>
        <w:szCs w:val="20"/>
      </w:rPr>
      <w:t>3</w:t>
    </w:r>
    <w:r>
      <w:rPr>
        <w:noProof/>
        <w:sz w:val="20"/>
        <w:szCs w:val="20"/>
      </w:rPr>
      <w:fldChar w:fldCharType="end"/>
    </w:r>
    <w:r>
      <w:rPr>
        <w:sz w:val="20"/>
        <w:szCs w:val="20"/>
      </w:rPr>
      <w:br/>
      <w:t>Distributed Energy Resource Power Purchase Agreement</w:t>
    </w:r>
    <w:r>
      <w:rPr>
        <w:sz w:val="20"/>
        <w:szCs w:val="20"/>
      </w:rPr>
      <w:br/>
      <w:t>between Puget Sound Energy, Inc. and</w:t>
    </w:r>
    <w:r>
      <w:rPr>
        <w:sz w:val="20"/>
        <w:szCs w:val="20"/>
      </w:rPr>
      <w:br/>
      <w:t>[</w:t>
    </w:r>
    <w:r>
      <w:rPr>
        <w:sz w:val="20"/>
        <w:szCs w:val="20"/>
        <w:u w:val="single"/>
      </w:rPr>
      <w:tab/>
      <w:t>]</w:t>
    </w:r>
  </w:p>
  <w:p>
    <w:pPr>
      <w:pStyle w:val="DocID"/>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680"/>
        <w:tab w:val="right" w:pos="2880"/>
      </w:tabs>
      <w:spacing w:before="240"/>
      <w:ind w:firstLine="0"/>
      <w:jc w:val="left"/>
      <w:rPr>
        <w:sz w:val="20"/>
        <w:szCs w:val="20"/>
      </w:rPr>
    </w:pPr>
    <w:r>
      <w:rPr>
        <w:sz w:val="20"/>
        <w:szCs w:val="20"/>
      </w:rPr>
      <w:t>Appendix D (Attributes Attestation Form) to the</w:t>
    </w:r>
    <w:r>
      <w:rPr>
        <w:sz w:val="20"/>
        <w:szCs w:val="20"/>
      </w:rPr>
      <w:tab/>
      <w:t>Page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2</w:t>
    </w:r>
    <w:r>
      <w:rPr>
        <w:noProof/>
        <w:sz w:val="20"/>
        <w:szCs w:val="20"/>
      </w:rPr>
      <w:fldChar w:fldCharType="end"/>
    </w:r>
    <w:r>
      <w:rPr>
        <w:noProof/>
        <w:sz w:val="20"/>
        <w:szCs w:val="20"/>
      </w:rPr>
      <w:t xml:space="preserve"> of </w:t>
    </w:r>
    <w:r>
      <w:rPr>
        <w:noProof/>
        <w:sz w:val="20"/>
        <w:szCs w:val="20"/>
      </w:rPr>
      <w:fldChar w:fldCharType="begin"/>
    </w:r>
    <w:r>
      <w:rPr>
        <w:noProof/>
        <w:sz w:val="20"/>
        <w:szCs w:val="20"/>
      </w:rPr>
      <w:instrText xml:space="preserve"> SECTIONPAGES  \* Arabic  \* MERGEFORMAT </w:instrText>
    </w:r>
    <w:r>
      <w:rPr>
        <w:noProof/>
        <w:sz w:val="20"/>
        <w:szCs w:val="20"/>
      </w:rPr>
      <w:fldChar w:fldCharType="separate"/>
    </w:r>
    <w:r>
      <w:rPr>
        <w:noProof/>
        <w:sz w:val="20"/>
        <w:szCs w:val="20"/>
      </w:rPr>
      <w:t>2</w:t>
    </w:r>
    <w:r>
      <w:rPr>
        <w:noProof/>
        <w:sz w:val="20"/>
        <w:szCs w:val="20"/>
      </w:rPr>
      <w:fldChar w:fldCharType="end"/>
    </w:r>
    <w:r>
      <w:rPr>
        <w:sz w:val="20"/>
        <w:szCs w:val="20"/>
      </w:rPr>
      <w:br/>
      <w:t>Distributed Energy Resource Power Purchase Agreement</w:t>
    </w:r>
    <w:r>
      <w:rPr>
        <w:sz w:val="20"/>
        <w:szCs w:val="20"/>
      </w:rPr>
      <w:br/>
      <w:t>between Puget Sound Energy, Inc. and</w:t>
    </w:r>
    <w:r>
      <w:rPr>
        <w:sz w:val="20"/>
        <w:szCs w:val="20"/>
      </w:rPr>
      <w:br/>
      <w:t>[</w:t>
    </w:r>
    <w:r>
      <w:rPr>
        <w:sz w:val="20"/>
        <w:szCs w:val="20"/>
        <w:u w:val="single"/>
      </w:rPr>
      <w:tab/>
      <w:t>]</w:t>
    </w:r>
  </w:p>
  <w:p>
    <w:pPr>
      <w:pStyle w:val="DocID"/>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680"/>
        <w:tab w:val="right" w:pos="2880"/>
      </w:tabs>
      <w:spacing w:before="240"/>
      <w:ind w:firstLine="0"/>
      <w:jc w:val="left"/>
      <w:rPr>
        <w:sz w:val="20"/>
        <w:szCs w:val="20"/>
      </w:rPr>
    </w:pPr>
    <w:r>
      <w:rPr>
        <w:sz w:val="20"/>
        <w:szCs w:val="20"/>
      </w:rPr>
      <w:t>Appendix E (Performance Security) to the</w:t>
    </w:r>
    <w:r>
      <w:rPr>
        <w:sz w:val="20"/>
        <w:szCs w:val="20"/>
      </w:rPr>
      <w:tab/>
      <w:t>Page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w:t>
    </w:r>
    <w:r>
      <w:rPr>
        <w:noProof/>
        <w:sz w:val="20"/>
        <w:szCs w:val="20"/>
      </w:rPr>
      <w:fldChar w:fldCharType="end"/>
    </w:r>
    <w:r>
      <w:rPr>
        <w:noProof/>
        <w:sz w:val="20"/>
        <w:szCs w:val="20"/>
      </w:rPr>
      <w:t xml:space="preserve"> of </w:t>
    </w:r>
    <w:r>
      <w:rPr>
        <w:noProof/>
        <w:sz w:val="20"/>
        <w:szCs w:val="20"/>
      </w:rPr>
      <w:fldChar w:fldCharType="begin"/>
    </w:r>
    <w:r>
      <w:rPr>
        <w:noProof/>
        <w:sz w:val="20"/>
        <w:szCs w:val="20"/>
      </w:rPr>
      <w:instrText xml:space="preserve"> SECTIONPAGES  \* Arabic  \* MERGEFORMAT </w:instrText>
    </w:r>
    <w:r>
      <w:rPr>
        <w:noProof/>
        <w:sz w:val="20"/>
        <w:szCs w:val="20"/>
      </w:rPr>
      <w:fldChar w:fldCharType="separate"/>
    </w:r>
    <w:r>
      <w:rPr>
        <w:noProof/>
        <w:sz w:val="20"/>
        <w:szCs w:val="20"/>
      </w:rPr>
      <w:t>1</w:t>
    </w:r>
    <w:r>
      <w:rPr>
        <w:noProof/>
        <w:sz w:val="20"/>
        <w:szCs w:val="20"/>
      </w:rPr>
      <w:fldChar w:fldCharType="end"/>
    </w:r>
    <w:r>
      <w:rPr>
        <w:sz w:val="20"/>
        <w:szCs w:val="20"/>
      </w:rPr>
      <w:br/>
      <w:t>Distributed Energy Resource Power Purchase Agreement</w:t>
    </w:r>
    <w:r>
      <w:rPr>
        <w:sz w:val="20"/>
        <w:szCs w:val="20"/>
      </w:rPr>
      <w:br/>
      <w:t>between Puget Sound Energy, Inc. and</w:t>
    </w:r>
    <w:r>
      <w:rPr>
        <w:sz w:val="20"/>
        <w:szCs w:val="20"/>
      </w:rPr>
      <w:br/>
      <w:t>[</w:t>
    </w:r>
    <w:r>
      <w:rPr>
        <w:sz w:val="20"/>
        <w:szCs w:val="20"/>
        <w:u w:val="single"/>
      </w:rPr>
      <w:tab/>
      <w:t>]</w:t>
    </w:r>
  </w:p>
  <w:p>
    <w:pPr>
      <w:pStyle w:val="DocID"/>
    </w:pPr>
    <w:bookmarkStart w:id="189" w:name="_iDocIDField3fe9a8a5-5bb7-44ea-be92-ab4a"/>
    <w:r>
      <w:t>4876-3733-6716.v2</w:t>
    </w:r>
    <w:bookmarkEnd w:id="189"/>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ind w:firstLine="0"/>
      </w:pPr>
      <w:r>
        <w:separator/>
      </w:r>
    </w:p>
  </w:footnote>
  <w:footnote w:type="continuationSeparator" w:id="0">
    <w:p>
      <w:pPr>
        <w:spacing w:after="0" w:line="240" w:lineRule="auto"/>
        <w:ind w:firstLine="0"/>
      </w:pPr>
      <w:r>
        <w:continuationSeparator/>
      </w:r>
    </w:p>
  </w:footnote>
  <w:footnote w:type="continuationNotice" w:id="1">
    <w:p>
      <w:pPr>
        <w:spacing w:after="0" w:line="240" w:lineRule="auto"/>
        <w:ind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firstLine="0"/>
      <w:jc w:val="left"/>
      <w:rPr>
        <w:b/>
        <w:color w:val="C00000"/>
      </w:rPr>
    </w:pPr>
    <w:r>
      <w:rPr>
        <w:b/>
        <w:color w:val="C00000"/>
      </w:rPr>
      <w:t>DRAFT PROTOTYPE AGREEMENT</w:t>
    </w:r>
  </w:p>
  <w:p>
    <w:pPr>
      <w:pStyle w:val="Header"/>
      <w:ind w:firstLine="0"/>
      <w:jc w:val="left"/>
      <w:rPr>
        <w:b/>
        <w:color w:val="C00000"/>
      </w:rPr>
    </w:pPr>
    <w:r>
      <w:rPr>
        <w:b/>
        <w:color w:val="C00000"/>
      </w:rPr>
      <w:t>SUBJECT TO PSE’S REVISION WITHOUT LIMITATION</w:t>
    </w: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firstLine="0"/>
      <w:jc w:val="left"/>
      <w:rPr>
        <w:b/>
        <w:color w:val="C00000"/>
      </w:rPr>
    </w:pPr>
    <w:bookmarkStart w:id="11" w:name="_Hlk149122514"/>
    <w:bookmarkStart w:id="12" w:name="OLE_LINK19"/>
    <w:bookmarkStart w:id="13" w:name="OLE_LINK18"/>
    <w:r>
      <w:rPr>
        <w:b/>
        <w:color w:val="C00000"/>
      </w:rPr>
      <w:t>DRAFT PROTOTYPE AGREEMENT</w:t>
    </w:r>
  </w:p>
  <w:p>
    <w:pPr>
      <w:pStyle w:val="Header"/>
      <w:ind w:firstLine="0"/>
      <w:jc w:val="left"/>
      <w:rPr>
        <w:b/>
        <w:color w:val="C00000"/>
      </w:rPr>
    </w:pPr>
    <w:r>
      <w:rPr>
        <w:b/>
        <w:color w:val="C00000"/>
      </w:rPr>
      <w:t>SUBJECT TO PSE’S REVISION WITHOUT LIMITATION</w:t>
    </w:r>
  </w:p>
  <w:bookmarkEnd w:id="11"/>
  <w:bookmarkEnd w:id="12"/>
  <w:bookmarkEnd w:id="13"/>
  <w:p>
    <w:pPr>
      <w:pStyle w:val="Header"/>
      <w:ind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firstLine="0"/>
      <w:jc w:val="left"/>
      <w:rPr>
        <w:b/>
        <w:color w:val="C00000"/>
      </w:rPr>
    </w:pPr>
    <w:r>
      <w:rPr>
        <w:b/>
        <w:color w:val="C00000"/>
      </w:rPr>
      <w:t>DRAFT PROTOTYPE AGREEMENT</w:t>
    </w:r>
  </w:p>
  <w:p>
    <w:pPr>
      <w:pStyle w:val="Header"/>
      <w:ind w:firstLine="0"/>
      <w:jc w:val="left"/>
      <w:rPr>
        <w:b/>
        <w:color w:val="C00000"/>
      </w:rPr>
    </w:pPr>
    <w:r>
      <w:rPr>
        <w:b/>
        <w:color w:val="C00000"/>
      </w:rPr>
      <w:t>SUBJECT TO PSE’S REVISION WITHOUT LIMITATION</w:t>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6A2"/>
    <w:multiLevelType w:val="hybridMultilevel"/>
    <w:tmpl w:val="718441E6"/>
    <w:name w:val="DocXtoolsCompanion_1"/>
    <w:lvl w:ilvl="0" w:tplc="F57078BA">
      <w:start w:val="18"/>
      <w:numFmt w:val="bullet"/>
      <w:lvlText w:val="-"/>
      <w:lvlJc w:val="left"/>
      <w:pPr>
        <w:ind w:left="1080" w:hanging="360"/>
      </w:pPr>
      <w:rPr>
        <w:rFonts w:ascii="Times New Roman" w:eastAsiaTheme="minorHAnsi" w:hAnsi="Times New Roman" w:cs="Times New Roman" w:hint="default"/>
      </w:rPr>
    </w:lvl>
    <w:lvl w:ilvl="1" w:tplc="16EE0BA8" w:tentative="1">
      <w:start w:val="1"/>
      <w:numFmt w:val="bullet"/>
      <w:lvlText w:val="o"/>
      <w:lvlJc w:val="left"/>
      <w:pPr>
        <w:ind w:left="1800" w:hanging="360"/>
      </w:pPr>
      <w:rPr>
        <w:rFonts w:ascii="Courier New" w:hAnsi="Courier New" w:cs="Courier New" w:hint="default"/>
      </w:rPr>
    </w:lvl>
    <w:lvl w:ilvl="2" w:tplc="89866884" w:tentative="1">
      <w:start w:val="1"/>
      <w:numFmt w:val="bullet"/>
      <w:lvlText w:val=""/>
      <w:lvlJc w:val="left"/>
      <w:pPr>
        <w:ind w:left="2520" w:hanging="360"/>
      </w:pPr>
      <w:rPr>
        <w:rFonts w:ascii="Wingdings" w:hAnsi="Wingdings" w:hint="default"/>
      </w:rPr>
    </w:lvl>
    <w:lvl w:ilvl="3" w:tplc="1E26ECB0" w:tentative="1">
      <w:start w:val="1"/>
      <w:numFmt w:val="bullet"/>
      <w:lvlText w:val=""/>
      <w:lvlJc w:val="left"/>
      <w:pPr>
        <w:ind w:left="3240" w:hanging="360"/>
      </w:pPr>
      <w:rPr>
        <w:rFonts w:ascii="Symbol" w:hAnsi="Symbol" w:hint="default"/>
      </w:rPr>
    </w:lvl>
    <w:lvl w:ilvl="4" w:tplc="B96279F2" w:tentative="1">
      <w:start w:val="1"/>
      <w:numFmt w:val="bullet"/>
      <w:lvlText w:val="o"/>
      <w:lvlJc w:val="left"/>
      <w:pPr>
        <w:ind w:left="3960" w:hanging="360"/>
      </w:pPr>
      <w:rPr>
        <w:rFonts w:ascii="Courier New" w:hAnsi="Courier New" w:cs="Courier New" w:hint="default"/>
      </w:rPr>
    </w:lvl>
    <w:lvl w:ilvl="5" w:tplc="95B840E2" w:tentative="1">
      <w:start w:val="1"/>
      <w:numFmt w:val="bullet"/>
      <w:lvlText w:val=""/>
      <w:lvlJc w:val="left"/>
      <w:pPr>
        <w:ind w:left="4680" w:hanging="360"/>
      </w:pPr>
      <w:rPr>
        <w:rFonts w:ascii="Wingdings" w:hAnsi="Wingdings" w:hint="default"/>
      </w:rPr>
    </w:lvl>
    <w:lvl w:ilvl="6" w:tplc="8A00BA0A" w:tentative="1">
      <w:start w:val="1"/>
      <w:numFmt w:val="bullet"/>
      <w:lvlText w:val=""/>
      <w:lvlJc w:val="left"/>
      <w:pPr>
        <w:ind w:left="5400" w:hanging="360"/>
      </w:pPr>
      <w:rPr>
        <w:rFonts w:ascii="Symbol" w:hAnsi="Symbol" w:hint="default"/>
      </w:rPr>
    </w:lvl>
    <w:lvl w:ilvl="7" w:tplc="C1020420" w:tentative="1">
      <w:start w:val="1"/>
      <w:numFmt w:val="bullet"/>
      <w:lvlText w:val="o"/>
      <w:lvlJc w:val="left"/>
      <w:pPr>
        <w:ind w:left="6120" w:hanging="360"/>
      </w:pPr>
      <w:rPr>
        <w:rFonts w:ascii="Courier New" w:hAnsi="Courier New" w:cs="Courier New" w:hint="default"/>
      </w:rPr>
    </w:lvl>
    <w:lvl w:ilvl="8" w:tplc="B76AE4B6" w:tentative="1">
      <w:start w:val="1"/>
      <w:numFmt w:val="bullet"/>
      <w:lvlText w:val=""/>
      <w:lvlJc w:val="left"/>
      <w:pPr>
        <w:ind w:left="6840" w:hanging="360"/>
      </w:pPr>
      <w:rPr>
        <w:rFonts w:ascii="Wingdings" w:hAnsi="Wingdings" w:hint="default"/>
      </w:rPr>
    </w:lvl>
  </w:abstractNum>
  <w:abstractNum w:abstractNumId="1" w15:restartNumberingAfterBreak="0">
    <w:nsid w:val="068C48A9"/>
    <w:multiLevelType w:val="multilevel"/>
    <w:tmpl w:val="0409001D"/>
    <w:name w:val="DocXtoolsCompanion_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1B37FD"/>
    <w:multiLevelType w:val="hybridMultilevel"/>
    <w:tmpl w:val="F8F438F0"/>
    <w:name w:val="DocXtoolsCompanion_3"/>
    <w:lvl w:ilvl="0" w:tplc="FAC4D4F2">
      <w:numFmt w:val="bullet"/>
      <w:lvlText w:val="-"/>
      <w:lvlJc w:val="left"/>
      <w:pPr>
        <w:ind w:left="1080" w:hanging="360"/>
      </w:pPr>
      <w:rPr>
        <w:rFonts w:ascii="Times New Roman" w:eastAsiaTheme="minorHAnsi" w:hAnsi="Times New Roman" w:cs="Times New Roman" w:hint="default"/>
      </w:rPr>
    </w:lvl>
    <w:lvl w:ilvl="1" w:tplc="F5207134" w:tentative="1">
      <w:start w:val="1"/>
      <w:numFmt w:val="bullet"/>
      <w:lvlText w:val="o"/>
      <w:lvlJc w:val="left"/>
      <w:pPr>
        <w:ind w:left="1800" w:hanging="360"/>
      </w:pPr>
      <w:rPr>
        <w:rFonts w:ascii="Courier New" w:hAnsi="Courier New" w:cs="Courier New" w:hint="default"/>
      </w:rPr>
    </w:lvl>
    <w:lvl w:ilvl="2" w:tplc="4F6E9BFC" w:tentative="1">
      <w:start w:val="1"/>
      <w:numFmt w:val="bullet"/>
      <w:lvlText w:val=""/>
      <w:lvlJc w:val="left"/>
      <w:pPr>
        <w:ind w:left="2520" w:hanging="360"/>
      </w:pPr>
      <w:rPr>
        <w:rFonts w:ascii="Wingdings" w:hAnsi="Wingdings" w:hint="default"/>
      </w:rPr>
    </w:lvl>
    <w:lvl w:ilvl="3" w:tplc="B728FCB6" w:tentative="1">
      <w:start w:val="1"/>
      <w:numFmt w:val="bullet"/>
      <w:lvlText w:val=""/>
      <w:lvlJc w:val="left"/>
      <w:pPr>
        <w:ind w:left="3240" w:hanging="360"/>
      </w:pPr>
      <w:rPr>
        <w:rFonts w:ascii="Symbol" w:hAnsi="Symbol" w:hint="default"/>
      </w:rPr>
    </w:lvl>
    <w:lvl w:ilvl="4" w:tplc="758CF3D4" w:tentative="1">
      <w:start w:val="1"/>
      <w:numFmt w:val="bullet"/>
      <w:lvlText w:val="o"/>
      <w:lvlJc w:val="left"/>
      <w:pPr>
        <w:ind w:left="3960" w:hanging="360"/>
      </w:pPr>
      <w:rPr>
        <w:rFonts w:ascii="Courier New" w:hAnsi="Courier New" w:cs="Courier New" w:hint="default"/>
      </w:rPr>
    </w:lvl>
    <w:lvl w:ilvl="5" w:tplc="92E4B236" w:tentative="1">
      <w:start w:val="1"/>
      <w:numFmt w:val="bullet"/>
      <w:lvlText w:val=""/>
      <w:lvlJc w:val="left"/>
      <w:pPr>
        <w:ind w:left="4680" w:hanging="360"/>
      </w:pPr>
      <w:rPr>
        <w:rFonts w:ascii="Wingdings" w:hAnsi="Wingdings" w:hint="default"/>
      </w:rPr>
    </w:lvl>
    <w:lvl w:ilvl="6" w:tplc="70107FA6" w:tentative="1">
      <w:start w:val="1"/>
      <w:numFmt w:val="bullet"/>
      <w:lvlText w:val=""/>
      <w:lvlJc w:val="left"/>
      <w:pPr>
        <w:ind w:left="5400" w:hanging="360"/>
      </w:pPr>
      <w:rPr>
        <w:rFonts w:ascii="Symbol" w:hAnsi="Symbol" w:hint="default"/>
      </w:rPr>
    </w:lvl>
    <w:lvl w:ilvl="7" w:tplc="66D68006" w:tentative="1">
      <w:start w:val="1"/>
      <w:numFmt w:val="bullet"/>
      <w:lvlText w:val="o"/>
      <w:lvlJc w:val="left"/>
      <w:pPr>
        <w:ind w:left="6120" w:hanging="360"/>
      </w:pPr>
      <w:rPr>
        <w:rFonts w:ascii="Courier New" w:hAnsi="Courier New" w:cs="Courier New" w:hint="default"/>
      </w:rPr>
    </w:lvl>
    <w:lvl w:ilvl="8" w:tplc="F2AC4810" w:tentative="1">
      <w:start w:val="1"/>
      <w:numFmt w:val="bullet"/>
      <w:lvlText w:val=""/>
      <w:lvlJc w:val="left"/>
      <w:pPr>
        <w:ind w:left="6840" w:hanging="360"/>
      </w:pPr>
      <w:rPr>
        <w:rFonts w:ascii="Wingdings" w:hAnsi="Wingdings" w:hint="default"/>
      </w:rPr>
    </w:lvl>
  </w:abstractNum>
  <w:abstractNum w:abstractNumId="3" w15:restartNumberingAfterBreak="0">
    <w:nsid w:val="0CFE29B4"/>
    <w:multiLevelType w:val="multilevel"/>
    <w:tmpl w:val="9E28FA60"/>
    <w:name w:val="DocXtoolsCompanion_4"/>
    <w:lvl w:ilvl="0">
      <w:start w:val="1"/>
      <w:numFmt w:val="decimal"/>
      <w:pStyle w:val="Heading1"/>
      <w:suff w:val="nothing"/>
      <w:lvlText w:val="ARTICLE %1"/>
      <w:lvlJc w:val="center"/>
      <w:pPr>
        <w:ind w:left="0" w:firstLine="432"/>
      </w:pPr>
      <w:rPr>
        <w:rFonts w:hint="default"/>
        <w:b/>
        <w:i w:val="0"/>
        <w:vanish w:val="0"/>
        <w:u w:val="none"/>
      </w:rPr>
    </w:lvl>
    <w:lvl w:ilvl="1">
      <w:start w:val="1"/>
      <w:numFmt w:val="decimal"/>
      <w:pStyle w:val="Heading2"/>
      <w:lvlText w:val="%1.%2"/>
      <w:lvlJc w:val="left"/>
      <w:pPr>
        <w:tabs>
          <w:tab w:val="num" w:pos="0"/>
        </w:tabs>
        <w:ind w:left="0" w:firstLine="720"/>
      </w:pPr>
      <w:rPr>
        <w:rFonts w:hint="default"/>
        <w:b/>
        <w:bCs w:val="0"/>
        <w:i w:val="0"/>
        <w:iCs w:val="0"/>
        <w:vanish w:val="0"/>
        <w:color w:val="auto"/>
        <w:u w:val="none"/>
      </w:rPr>
    </w:lvl>
    <w:lvl w:ilvl="2">
      <w:start w:val="1"/>
      <w:numFmt w:val="lowerLetter"/>
      <w:pStyle w:val="Heading3"/>
      <w:lvlText w:val="(%3)"/>
      <w:lvlJc w:val="left"/>
      <w:pPr>
        <w:tabs>
          <w:tab w:val="num" w:pos="270"/>
        </w:tabs>
        <w:ind w:left="270" w:firstLine="1440"/>
      </w:pPr>
      <w:rPr>
        <w:rFonts w:hint="default"/>
        <w:b w:val="0"/>
        <w:i w:val="0"/>
        <w:vanish w:val="0"/>
        <w:color w:val="auto"/>
        <w:u w:val="none"/>
      </w:rPr>
    </w:lvl>
    <w:lvl w:ilvl="3">
      <w:start w:val="1"/>
      <w:numFmt w:val="upperLetter"/>
      <w:lvlRestart w:val="0"/>
      <w:suff w:val="nothing"/>
      <w:lvlText w:val="Appendix %4"/>
      <w:lvlJc w:val="left"/>
      <w:pPr>
        <w:ind w:left="0" w:firstLine="0"/>
      </w:pPr>
      <w:rPr>
        <w:rFonts w:ascii="Times New Roman Bold" w:hAnsi="Times New Roman Bold" w:hint="default"/>
        <w:b/>
        <w:i w:val="0"/>
        <w:caps/>
        <w:vanish w:val="0"/>
        <w:sz w:val="24"/>
        <w:szCs w:val="24"/>
        <w:u w:val="none"/>
      </w:rPr>
    </w:lvl>
    <w:lvl w:ilvl="4">
      <w:start w:val="1"/>
      <w:numFmt w:val="upperLetter"/>
      <w:pStyle w:val="Heading5"/>
      <w:lvlText w:val="(%5)"/>
      <w:lvlJc w:val="left"/>
      <w:pPr>
        <w:ind w:left="1440" w:firstLine="1440"/>
      </w:pPr>
      <w:rPr>
        <w:rFonts w:hint="default"/>
        <w:vanish w:val="0"/>
        <w:u w:val="none"/>
      </w:rPr>
    </w:lvl>
    <w:lvl w:ilvl="5">
      <w:start w:val="1"/>
      <w:numFmt w:val="decimal"/>
      <w:pStyle w:val="Heading6"/>
      <w:lvlText w:val="(%6)"/>
      <w:lvlJc w:val="left"/>
      <w:pPr>
        <w:ind w:left="0" w:firstLine="3600"/>
      </w:pPr>
      <w:rPr>
        <w:rFonts w:hint="default"/>
        <w:vanish w:val="0"/>
        <w:u w:val="none"/>
      </w:rPr>
    </w:lvl>
    <w:lvl w:ilvl="6">
      <w:start w:val="1"/>
      <w:numFmt w:val="lowerRoman"/>
      <w:pStyle w:val="Heading7"/>
      <w:lvlText w:val="%7)"/>
      <w:lvlJc w:val="right"/>
      <w:pPr>
        <w:ind w:left="0" w:firstLine="4680"/>
      </w:pPr>
      <w:rPr>
        <w:rFonts w:hint="default"/>
        <w:vanish w:val="0"/>
        <w:u w:val="none"/>
      </w:rPr>
    </w:lvl>
    <w:lvl w:ilvl="7">
      <w:start w:val="1"/>
      <w:numFmt w:val="decimal"/>
      <w:pStyle w:val="Heading8"/>
      <w:lvlText w:val="%8)"/>
      <w:lvlJc w:val="left"/>
      <w:pPr>
        <w:tabs>
          <w:tab w:val="num" w:pos="5760"/>
        </w:tabs>
        <w:ind w:left="0" w:firstLine="5040"/>
      </w:pPr>
      <w:rPr>
        <w:rFonts w:hint="default"/>
        <w:vanish w:val="0"/>
        <w:u w:val="none"/>
      </w:rPr>
    </w:lvl>
    <w:lvl w:ilvl="8">
      <w:start w:val="1"/>
      <w:numFmt w:val="lowerRoman"/>
      <w:pStyle w:val="Heading9"/>
      <w:lvlText w:val="%9."/>
      <w:lvlJc w:val="right"/>
      <w:pPr>
        <w:tabs>
          <w:tab w:val="num" w:pos="1584"/>
        </w:tabs>
        <w:ind w:left="1584" w:hanging="144"/>
      </w:pPr>
      <w:rPr>
        <w:rFonts w:hint="default"/>
        <w:vanish w:val="0"/>
        <w:u w:val="none"/>
      </w:rPr>
    </w:lvl>
  </w:abstractNum>
  <w:abstractNum w:abstractNumId="4" w15:restartNumberingAfterBreak="0">
    <w:nsid w:val="0DB17F95"/>
    <w:multiLevelType w:val="hybridMultilevel"/>
    <w:tmpl w:val="A1C23B36"/>
    <w:name w:val="DocXtoolsCompanion_5"/>
    <w:lvl w:ilvl="0" w:tplc="A44C7D86">
      <w:start w:val="1"/>
      <w:numFmt w:val="decimal"/>
      <w:lvlText w:val="%1."/>
      <w:lvlJc w:val="left"/>
      <w:pPr>
        <w:ind w:left="1080" w:hanging="720"/>
      </w:pPr>
      <w:rPr>
        <w:rFonts w:hint="default"/>
      </w:rPr>
    </w:lvl>
    <w:lvl w:ilvl="1" w:tplc="076CF718" w:tentative="1">
      <w:start w:val="1"/>
      <w:numFmt w:val="lowerLetter"/>
      <w:lvlText w:val="%2."/>
      <w:lvlJc w:val="left"/>
      <w:pPr>
        <w:ind w:left="1440" w:hanging="360"/>
      </w:pPr>
    </w:lvl>
    <w:lvl w:ilvl="2" w:tplc="E640C87C" w:tentative="1">
      <w:start w:val="1"/>
      <w:numFmt w:val="lowerRoman"/>
      <w:lvlText w:val="%3."/>
      <w:lvlJc w:val="right"/>
      <w:pPr>
        <w:ind w:left="2160" w:hanging="180"/>
      </w:pPr>
    </w:lvl>
    <w:lvl w:ilvl="3" w:tplc="B8C4C31A" w:tentative="1">
      <w:start w:val="1"/>
      <w:numFmt w:val="decimal"/>
      <w:lvlText w:val="%4."/>
      <w:lvlJc w:val="left"/>
      <w:pPr>
        <w:ind w:left="2880" w:hanging="360"/>
      </w:pPr>
    </w:lvl>
    <w:lvl w:ilvl="4" w:tplc="593A8C86" w:tentative="1">
      <w:start w:val="1"/>
      <w:numFmt w:val="lowerLetter"/>
      <w:lvlText w:val="%5."/>
      <w:lvlJc w:val="left"/>
      <w:pPr>
        <w:ind w:left="3600" w:hanging="360"/>
      </w:pPr>
    </w:lvl>
    <w:lvl w:ilvl="5" w:tplc="64102940" w:tentative="1">
      <w:start w:val="1"/>
      <w:numFmt w:val="lowerRoman"/>
      <w:lvlText w:val="%6."/>
      <w:lvlJc w:val="right"/>
      <w:pPr>
        <w:ind w:left="4320" w:hanging="180"/>
      </w:pPr>
    </w:lvl>
    <w:lvl w:ilvl="6" w:tplc="07F23D3A" w:tentative="1">
      <w:start w:val="1"/>
      <w:numFmt w:val="decimal"/>
      <w:lvlText w:val="%7."/>
      <w:lvlJc w:val="left"/>
      <w:pPr>
        <w:ind w:left="5040" w:hanging="360"/>
      </w:pPr>
    </w:lvl>
    <w:lvl w:ilvl="7" w:tplc="3DB6EC56" w:tentative="1">
      <w:start w:val="1"/>
      <w:numFmt w:val="lowerLetter"/>
      <w:lvlText w:val="%8."/>
      <w:lvlJc w:val="left"/>
      <w:pPr>
        <w:ind w:left="5760" w:hanging="360"/>
      </w:pPr>
    </w:lvl>
    <w:lvl w:ilvl="8" w:tplc="305A45B8" w:tentative="1">
      <w:start w:val="1"/>
      <w:numFmt w:val="lowerRoman"/>
      <w:lvlText w:val="%9."/>
      <w:lvlJc w:val="right"/>
      <w:pPr>
        <w:ind w:left="6480" w:hanging="180"/>
      </w:pPr>
    </w:lvl>
  </w:abstractNum>
  <w:abstractNum w:abstractNumId="5" w15:restartNumberingAfterBreak="0">
    <w:nsid w:val="223F1293"/>
    <w:multiLevelType w:val="hybridMultilevel"/>
    <w:tmpl w:val="F41099F2"/>
    <w:lvl w:ilvl="0" w:tplc="91B65B2E">
      <w:numFmt w:val="bullet"/>
      <w:lvlText w:val="-"/>
      <w:lvlJc w:val="left"/>
      <w:pPr>
        <w:ind w:left="1080" w:hanging="360"/>
      </w:pPr>
      <w:rPr>
        <w:rFonts w:ascii="Times New Roman" w:eastAsiaTheme="minorHAnsi" w:hAnsi="Times New Roman" w:cs="Times New Roman" w:hint="default"/>
      </w:rPr>
    </w:lvl>
    <w:lvl w:ilvl="1" w:tplc="511297F8" w:tentative="1">
      <w:start w:val="1"/>
      <w:numFmt w:val="bullet"/>
      <w:lvlText w:val="o"/>
      <w:lvlJc w:val="left"/>
      <w:pPr>
        <w:ind w:left="1800" w:hanging="360"/>
      </w:pPr>
      <w:rPr>
        <w:rFonts w:ascii="Courier New" w:hAnsi="Courier New" w:cs="Courier New" w:hint="default"/>
      </w:rPr>
    </w:lvl>
    <w:lvl w:ilvl="2" w:tplc="87787BBC" w:tentative="1">
      <w:start w:val="1"/>
      <w:numFmt w:val="bullet"/>
      <w:lvlText w:val=""/>
      <w:lvlJc w:val="left"/>
      <w:pPr>
        <w:ind w:left="2520" w:hanging="360"/>
      </w:pPr>
      <w:rPr>
        <w:rFonts w:ascii="Wingdings" w:hAnsi="Wingdings" w:hint="default"/>
      </w:rPr>
    </w:lvl>
    <w:lvl w:ilvl="3" w:tplc="62223E06" w:tentative="1">
      <w:start w:val="1"/>
      <w:numFmt w:val="bullet"/>
      <w:lvlText w:val=""/>
      <w:lvlJc w:val="left"/>
      <w:pPr>
        <w:ind w:left="3240" w:hanging="360"/>
      </w:pPr>
      <w:rPr>
        <w:rFonts w:ascii="Symbol" w:hAnsi="Symbol" w:hint="default"/>
      </w:rPr>
    </w:lvl>
    <w:lvl w:ilvl="4" w:tplc="DBFC0464" w:tentative="1">
      <w:start w:val="1"/>
      <w:numFmt w:val="bullet"/>
      <w:lvlText w:val="o"/>
      <w:lvlJc w:val="left"/>
      <w:pPr>
        <w:ind w:left="3960" w:hanging="360"/>
      </w:pPr>
      <w:rPr>
        <w:rFonts w:ascii="Courier New" w:hAnsi="Courier New" w:cs="Courier New" w:hint="default"/>
      </w:rPr>
    </w:lvl>
    <w:lvl w:ilvl="5" w:tplc="E9C481E6" w:tentative="1">
      <w:start w:val="1"/>
      <w:numFmt w:val="bullet"/>
      <w:lvlText w:val=""/>
      <w:lvlJc w:val="left"/>
      <w:pPr>
        <w:ind w:left="4680" w:hanging="360"/>
      </w:pPr>
      <w:rPr>
        <w:rFonts w:ascii="Wingdings" w:hAnsi="Wingdings" w:hint="default"/>
      </w:rPr>
    </w:lvl>
    <w:lvl w:ilvl="6" w:tplc="BC6ABFAA" w:tentative="1">
      <w:start w:val="1"/>
      <w:numFmt w:val="bullet"/>
      <w:lvlText w:val=""/>
      <w:lvlJc w:val="left"/>
      <w:pPr>
        <w:ind w:left="5400" w:hanging="360"/>
      </w:pPr>
      <w:rPr>
        <w:rFonts w:ascii="Symbol" w:hAnsi="Symbol" w:hint="default"/>
      </w:rPr>
    </w:lvl>
    <w:lvl w:ilvl="7" w:tplc="6EF07EA8" w:tentative="1">
      <w:start w:val="1"/>
      <w:numFmt w:val="bullet"/>
      <w:lvlText w:val="o"/>
      <w:lvlJc w:val="left"/>
      <w:pPr>
        <w:ind w:left="6120" w:hanging="360"/>
      </w:pPr>
      <w:rPr>
        <w:rFonts w:ascii="Courier New" w:hAnsi="Courier New" w:cs="Courier New" w:hint="default"/>
      </w:rPr>
    </w:lvl>
    <w:lvl w:ilvl="8" w:tplc="873C808C" w:tentative="1">
      <w:start w:val="1"/>
      <w:numFmt w:val="bullet"/>
      <w:lvlText w:val=""/>
      <w:lvlJc w:val="left"/>
      <w:pPr>
        <w:ind w:left="6840" w:hanging="360"/>
      </w:pPr>
      <w:rPr>
        <w:rFonts w:ascii="Wingdings" w:hAnsi="Wingdings" w:hint="default"/>
      </w:rPr>
    </w:lvl>
  </w:abstractNum>
  <w:abstractNum w:abstractNumId="6" w15:restartNumberingAfterBreak="0">
    <w:nsid w:val="430F4DDB"/>
    <w:multiLevelType w:val="multilevel"/>
    <w:tmpl w:val="A7420B3C"/>
    <w:name w:val="DocXtoolsCompanion_6"/>
    <w:lvl w:ilvl="0">
      <w:start w:val="1"/>
      <w:numFmt w:val="decimal"/>
      <w:pStyle w:val="Decimaloutlinedc1"/>
      <w:lvlText w:val="%1."/>
      <w:lvlJc w:val="left"/>
      <w:pPr>
        <w:ind w:left="720" w:hanging="720"/>
      </w:pPr>
      <w:rPr>
        <w:rFonts w:ascii="Times New Roman" w:hAnsi="Times New Roman" w:cs="Times New Roman"/>
        <w:b w:val="0"/>
        <w:sz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15:restartNumberingAfterBreak="0">
    <w:nsid w:val="433C2666"/>
    <w:multiLevelType w:val="multilevel"/>
    <w:tmpl w:val="09F0BEAA"/>
    <w:name w:val="DocXtoolsCompanion_7"/>
    <w:lvl w:ilvl="0">
      <w:start w:val="1"/>
      <w:numFmt w:val="upperLetter"/>
      <w:pStyle w:val="UpperLetteroutlinedc1"/>
      <w:lvlText w:val="%1."/>
      <w:lvlJc w:val="left"/>
      <w:pPr>
        <w:ind w:left="1166" w:hanging="576"/>
      </w:pPr>
      <w:rPr>
        <w:rFonts w:ascii="Times New Roman" w:hAnsi="Times New Roman" w:cs="Times New Roman" w:hint="default"/>
        <w:sz w:val="22"/>
      </w:rPr>
    </w:lvl>
    <w:lvl w:ilvl="1" w:tentative="1">
      <w:start w:val="1"/>
      <w:numFmt w:val="lowerLetter"/>
      <w:lvlText w:val="%2."/>
      <w:lvlJc w:val="left"/>
      <w:pPr>
        <w:ind w:left="2682" w:hanging="360"/>
      </w:pPr>
    </w:lvl>
    <w:lvl w:ilvl="2" w:tentative="1">
      <w:start w:val="1"/>
      <w:numFmt w:val="lowerRoman"/>
      <w:lvlText w:val="%3."/>
      <w:lvlJc w:val="right"/>
      <w:pPr>
        <w:ind w:left="3402" w:hanging="180"/>
      </w:pPr>
    </w:lvl>
    <w:lvl w:ilvl="3" w:tentative="1">
      <w:start w:val="1"/>
      <w:numFmt w:val="decimal"/>
      <w:lvlText w:val="%4."/>
      <w:lvlJc w:val="left"/>
      <w:pPr>
        <w:ind w:left="4122" w:hanging="360"/>
      </w:pPr>
    </w:lvl>
    <w:lvl w:ilvl="4" w:tentative="1">
      <w:start w:val="1"/>
      <w:numFmt w:val="lowerLetter"/>
      <w:lvlText w:val="%5."/>
      <w:lvlJc w:val="left"/>
      <w:pPr>
        <w:ind w:left="4842" w:hanging="360"/>
      </w:pPr>
    </w:lvl>
    <w:lvl w:ilvl="5" w:tentative="1">
      <w:start w:val="1"/>
      <w:numFmt w:val="lowerRoman"/>
      <w:lvlText w:val="%6."/>
      <w:lvlJc w:val="right"/>
      <w:pPr>
        <w:ind w:left="5562" w:hanging="180"/>
      </w:pPr>
    </w:lvl>
    <w:lvl w:ilvl="6" w:tentative="1">
      <w:start w:val="1"/>
      <w:numFmt w:val="decimal"/>
      <w:lvlText w:val="%7."/>
      <w:lvlJc w:val="left"/>
      <w:pPr>
        <w:ind w:left="6282" w:hanging="360"/>
      </w:pPr>
    </w:lvl>
    <w:lvl w:ilvl="7" w:tentative="1">
      <w:start w:val="1"/>
      <w:numFmt w:val="lowerLetter"/>
      <w:lvlText w:val="%8."/>
      <w:lvlJc w:val="left"/>
      <w:pPr>
        <w:ind w:left="7002" w:hanging="360"/>
      </w:pPr>
    </w:lvl>
    <w:lvl w:ilvl="8" w:tentative="1">
      <w:start w:val="1"/>
      <w:numFmt w:val="lowerRoman"/>
      <w:lvlText w:val="%9."/>
      <w:lvlJc w:val="right"/>
      <w:pPr>
        <w:ind w:left="7722" w:hanging="180"/>
      </w:pPr>
    </w:lvl>
  </w:abstractNum>
  <w:abstractNum w:abstractNumId="8" w15:restartNumberingAfterBreak="0">
    <w:nsid w:val="593E5AB5"/>
    <w:multiLevelType w:val="multilevel"/>
    <w:tmpl w:val="C6AA11CA"/>
    <w:lvl w:ilvl="0">
      <w:start w:val="1"/>
      <w:numFmt w:val="decimal"/>
      <w:pStyle w:val="N1"/>
      <w:lvlText w:val="%1"/>
      <w:lvlJc w:val="left"/>
      <w:pPr>
        <w:tabs>
          <w:tab w:val="num" w:pos="576"/>
        </w:tabs>
        <w:ind w:left="576" w:hanging="576"/>
      </w:pPr>
      <w:rPr>
        <w:rFonts w:ascii="Times New Roman" w:hAnsi="Times New Roman" w:cs="Times New Roman" w:hint="default"/>
        <w:b/>
        <w:color w:val="auto"/>
        <w:sz w:val="22"/>
      </w:rPr>
    </w:lvl>
    <w:lvl w:ilvl="1">
      <w:start w:val="1"/>
      <w:numFmt w:val="decimal"/>
      <w:pStyle w:val="N2"/>
      <w:isLgl/>
      <w:lvlText w:val="%1.%2"/>
      <w:lvlJc w:val="left"/>
      <w:pPr>
        <w:ind w:left="1296" w:hanging="720"/>
      </w:pPr>
      <w:rPr>
        <w:rFonts w:ascii="Times New Roman" w:hAnsi="Times New Roman" w:cs="Times New Roman" w:hint="default"/>
        <w:b/>
        <w:color w:val="auto"/>
        <w:sz w:val="22"/>
      </w:rPr>
    </w:lvl>
    <w:lvl w:ilvl="2">
      <w:start w:val="1"/>
      <w:numFmt w:val="decimal"/>
      <w:pStyle w:val="N3"/>
      <w:isLgl/>
      <w:lvlText w:val="%1.%2.%3"/>
      <w:lvlJc w:val="left"/>
      <w:pPr>
        <w:ind w:left="2160" w:hanging="864"/>
      </w:pPr>
      <w:rPr>
        <w:rFonts w:ascii="Times New Roman" w:hAnsi="Times New Roman" w:cs="Times New Roman"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B2261F7"/>
    <w:multiLevelType w:val="multilevel"/>
    <w:tmpl w:val="4FBA04EC"/>
    <w:name w:val="Decimal_outlinedc(1)"/>
    <w:lvl w:ilvl="0">
      <w:start w:val="1"/>
      <w:numFmt w:val="decimal"/>
      <w:pStyle w:val="Decimaloutlinedc11"/>
      <w:lvlText w:val="%1."/>
      <w:lvlJc w:val="left"/>
      <w:pPr>
        <w:ind w:left="0" w:firstLine="720"/>
      </w:pPr>
      <w:rPr>
        <w:b/>
        <w:bCs w:val="0"/>
      </w:rPr>
    </w:lvl>
    <w:lvl w:ilvl="1">
      <w:start w:val="1"/>
      <w:numFmt w:val="lowerLetter"/>
      <w:pStyle w:val="Decimaloutlinedc12"/>
      <w:lvlText w:val="(%2)"/>
      <w:lvlJc w:val="left"/>
      <w:pPr>
        <w:ind w:left="720" w:firstLine="7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A469B8"/>
    <w:multiLevelType w:val="multilevel"/>
    <w:tmpl w:val="A612A2EE"/>
    <w:name w:val="APPENDIX_outlinedc"/>
    <w:lvl w:ilvl="0">
      <w:start w:val="1"/>
      <w:numFmt w:val="upperLetter"/>
      <w:pStyle w:val="APPENDIXoutlinedc1"/>
      <w:suff w:val="nothing"/>
      <w:lvlText w:val="Appendix %1"/>
      <w:lvlJc w:val="left"/>
      <w:pPr>
        <w:ind w:left="0" w:firstLine="0"/>
      </w:pPr>
      <w:rPr>
        <w:rFonts w:hint="default"/>
        <w:b/>
        <w:caps/>
      </w:rPr>
    </w:lvl>
    <w:lvl w:ilvl="1">
      <w:start w:val="1"/>
      <w:numFmt w:val="decimal"/>
      <w:pStyle w:val="APPENDIXoutlinedc2"/>
      <w:lvlText w:val="Section %2"/>
      <w:lvlJc w:val="left"/>
      <w:pPr>
        <w:ind w:left="0" w:firstLine="0"/>
      </w:pPr>
      <w:rPr>
        <w:rFonts w:hint="default"/>
        <w:b/>
      </w:rPr>
    </w:lvl>
    <w:lvl w:ilvl="2">
      <w:start w:val="1"/>
      <w:numFmt w:val="upperLetter"/>
      <w:pStyle w:val="APPENDIXoutlinedc3"/>
      <w:lvlText w:val="%3."/>
      <w:lvlJc w:val="left"/>
      <w:pPr>
        <w:ind w:left="720" w:hanging="720"/>
      </w:pPr>
      <w:rPr>
        <w:rFonts w:hint="default"/>
      </w:rPr>
    </w:lvl>
    <w:lvl w:ilvl="3">
      <w:start w:val="1"/>
      <w:numFmt w:val="decimal"/>
      <w:pStyle w:val="APPENDIXoutlinedc4"/>
      <w:lvlText w:val="%4."/>
      <w:lvlJc w:val="left"/>
      <w:pPr>
        <w:ind w:left="0" w:firstLine="720"/>
      </w:pPr>
      <w:rPr>
        <w:rFonts w:hint="default"/>
      </w:rPr>
    </w:lvl>
    <w:lvl w:ilvl="4">
      <w:start w:val="1"/>
      <w:numFmt w:val="lowerRoman"/>
      <w:pStyle w:val="APPENDIXoutlinedc5"/>
      <w:lvlText w:val="%5."/>
      <w:lvlJc w:val="left"/>
      <w:pPr>
        <w:ind w:left="2160" w:hanging="720"/>
      </w:pPr>
      <w:rPr>
        <w:rFonts w:hint="default"/>
      </w:rPr>
    </w:lvl>
    <w:lvl w:ilvl="5">
      <w:start w:val="1"/>
      <w:numFmt w:val="decimal"/>
      <w:pStyle w:val="APPENDIXoutlinedc6"/>
      <w:lvlText w:val="Section %6."/>
      <w:lvlJc w:val="left"/>
      <w:pPr>
        <w:ind w:left="0" w:firstLine="720"/>
      </w:pPr>
      <w:rPr>
        <w:rFonts w:hint="default"/>
        <w:b/>
      </w:rPr>
    </w:lvl>
    <w:lvl w:ilvl="6">
      <w:start w:val="1"/>
      <w:numFmt w:val="decimal"/>
      <w:pStyle w:val="APPENDIXoutlinedc7"/>
      <w:isLgl/>
      <w:lvlText w:val="%6.%7."/>
      <w:lvlJc w:val="left"/>
      <w:pPr>
        <w:ind w:left="0" w:firstLine="720"/>
      </w:pPr>
      <w:rPr>
        <w:rFonts w:hint="default"/>
      </w:rPr>
    </w:lvl>
    <w:lvl w:ilvl="7">
      <w:start w:val="1"/>
      <w:numFmt w:val="decimal"/>
      <w:pStyle w:val="APPENDIXoutlinedc8"/>
      <w:isLgl/>
      <w:lvlText w:val="%7.%8"/>
      <w:lvlJc w:val="left"/>
      <w:pPr>
        <w:ind w:left="0" w:firstLine="1440"/>
      </w:pPr>
      <w:rPr>
        <w:rFonts w:hint="default"/>
      </w:rPr>
    </w:lvl>
    <w:lvl w:ilvl="8">
      <w:numFmt w:val="decimal"/>
      <w:lvlText w:val=""/>
      <w:lvlJc w:val="left"/>
      <w:pPr>
        <w:ind w:left="0" w:firstLine="0"/>
      </w:pPr>
      <w:rPr>
        <w:rFonts w:hint="default"/>
      </w:rPr>
    </w:lvl>
  </w:abstractNum>
  <w:abstractNum w:abstractNumId="11" w15:restartNumberingAfterBreak="0">
    <w:nsid w:val="5EB92EC6"/>
    <w:multiLevelType w:val="multilevel"/>
    <w:tmpl w:val="0409001D"/>
    <w:name w:val="DocXtoolsCompanion_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FEE011C"/>
    <w:multiLevelType w:val="hybridMultilevel"/>
    <w:tmpl w:val="8696CB0A"/>
    <w:name w:val="DocXtoolsCompanion_10"/>
    <w:lvl w:ilvl="0" w:tplc="B9D46956">
      <w:start w:val="1"/>
      <w:numFmt w:val="decimal"/>
      <w:lvlText w:val="%1."/>
      <w:lvlJc w:val="left"/>
      <w:pPr>
        <w:ind w:left="720" w:hanging="360"/>
      </w:pPr>
    </w:lvl>
    <w:lvl w:ilvl="1" w:tplc="AA6A304E" w:tentative="1">
      <w:start w:val="1"/>
      <w:numFmt w:val="lowerLetter"/>
      <w:lvlText w:val="%2."/>
      <w:lvlJc w:val="left"/>
      <w:pPr>
        <w:ind w:left="1440" w:hanging="360"/>
      </w:pPr>
    </w:lvl>
    <w:lvl w:ilvl="2" w:tplc="68FE3E8A" w:tentative="1">
      <w:start w:val="1"/>
      <w:numFmt w:val="lowerRoman"/>
      <w:lvlText w:val="%3."/>
      <w:lvlJc w:val="right"/>
      <w:pPr>
        <w:ind w:left="2160" w:hanging="180"/>
      </w:pPr>
    </w:lvl>
    <w:lvl w:ilvl="3" w:tplc="8084C8E2" w:tentative="1">
      <w:start w:val="1"/>
      <w:numFmt w:val="decimal"/>
      <w:lvlText w:val="%4."/>
      <w:lvlJc w:val="left"/>
      <w:pPr>
        <w:ind w:left="2880" w:hanging="360"/>
      </w:pPr>
    </w:lvl>
    <w:lvl w:ilvl="4" w:tplc="13BA1E1A" w:tentative="1">
      <w:start w:val="1"/>
      <w:numFmt w:val="lowerLetter"/>
      <w:lvlText w:val="%5."/>
      <w:lvlJc w:val="left"/>
      <w:pPr>
        <w:ind w:left="3600" w:hanging="360"/>
      </w:pPr>
    </w:lvl>
    <w:lvl w:ilvl="5" w:tplc="50F89034" w:tentative="1">
      <w:start w:val="1"/>
      <w:numFmt w:val="lowerRoman"/>
      <w:lvlText w:val="%6."/>
      <w:lvlJc w:val="right"/>
      <w:pPr>
        <w:ind w:left="4320" w:hanging="180"/>
      </w:pPr>
    </w:lvl>
    <w:lvl w:ilvl="6" w:tplc="84BA5058" w:tentative="1">
      <w:start w:val="1"/>
      <w:numFmt w:val="decimal"/>
      <w:lvlText w:val="%7."/>
      <w:lvlJc w:val="left"/>
      <w:pPr>
        <w:ind w:left="5040" w:hanging="360"/>
      </w:pPr>
    </w:lvl>
    <w:lvl w:ilvl="7" w:tplc="9B0CA230" w:tentative="1">
      <w:start w:val="1"/>
      <w:numFmt w:val="lowerLetter"/>
      <w:lvlText w:val="%8."/>
      <w:lvlJc w:val="left"/>
      <w:pPr>
        <w:ind w:left="5760" w:hanging="360"/>
      </w:pPr>
    </w:lvl>
    <w:lvl w:ilvl="8" w:tplc="ADC84872" w:tentative="1">
      <w:start w:val="1"/>
      <w:numFmt w:val="lowerRoman"/>
      <w:lvlText w:val="%9."/>
      <w:lvlJc w:val="right"/>
      <w:pPr>
        <w:ind w:left="6480" w:hanging="180"/>
      </w:pPr>
    </w:lvl>
  </w:abstractNum>
  <w:abstractNum w:abstractNumId="13" w15:restartNumberingAfterBreak="0">
    <w:nsid w:val="62215524"/>
    <w:multiLevelType w:val="multilevel"/>
    <w:tmpl w:val="3F1A19FC"/>
    <w:name w:val="Decimal_outlinedc(2)"/>
    <w:lvl w:ilvl="0">
      <w:numFmt w:val="decimal"/>
      <w:lvlText w:val=""/>
      <w:lvlJc w:val="left"/>
    </w:lvl>
    <w:lvl w:ilvl="1">
      <w:start w:val="1"/>
      <w:numFmt w:val="decimal"/>
      <w:pStyle w:val="Decimaloutlinedc22"/>
      <w:lvlText w:val="%2)"/>
      <w:lvlJc w:val="left"/>
      <w:pPr>
        <w:ind w:left="1440" w:hanging="720"/>
      </w:pPr>
    </w:lvl>
    <w:lvl w:ilvl="2">
      <w:start w:val="1"/>
      <w:numFmt w:val="lowerRoman"/>
      <w:pStyle w:val="Decimaloutlinedc23"/>
      <w:lvlText w:val="(%3)"/>
      <w:lvlJc w:val="left"/>
      <w:pPr>
        <w:ind w:left="144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530AF9"/>
    <w:multiLevelType w:val="multilevel"/>
    <w:tmpl w:val="FD1CCD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5BB5ECD"/>
    <w:multiLevelType w:val="multilevel"/>
    <w:tmpl w:val="2CA659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4"/>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12"/>
  </w:num>
  <w:num w:numId="10">
    <w:abstractNumId w:val="2"/>
  </w:num>
  <w:num w:numId="11">
    <w:abstractNumId w:val="11"/>
  </w:num>
  <w:num w:numId="12">
    <w:abstractNumId w:val="1"/>
  </w:num>
  <w:num w:numId="13">
    <w:abstractNumId w:val="3"/>
    <w:lvlOverride w:ilvl="0">
      <w:lvl w:ilvl="0">
        <w:start w:val="1"/>
        <w:numFmt w:val="decimal"/>
        <w:pStyle w:val="Heading1"/>
        <w:suff w:val="nothing"/>
        <w:lvlText w:val="ARTICLE %1"/>
        <w:lvlJc w:val="center"/>
        <w:pPr>
          <w:ind w:left="0" w:firstLine="432"/>
        </w:pPr>
        <w:rPr>
          <w:rFonts w:hint="default"/>
          <w:b/>
          <w:i w:val="0"/>
          <w:vanish w:val="0"/>
          <w:u w:val="none"/>
        </w:rPr>
      </w:lvl>
    </w:lvlOverride>
    <w:lvlOverride w:ilvl="1">
      <w:lvl w:ilvl="1">
        <w:start w:val="1"/>
        <w:numFmt w:val="decimal"/>
        <w:pStyle w:val="Heading2"/>
        <w:lvlText w:val="%1.%2"/>
        <w:lvlJc w:val="left"/>
        <w:pPr>
          <w:tabs>
            <w:tab w:val="num" w:pos="0"/>
          </w:tabs>
          <w:ind w:left="0" w:firstLine="720"/>
        </w:pPr>
        <w:rPr>
          <w:rFonts w:hint="default"/>
          <w:b/>
          <w:bCs w:val="0"/>
          <w:i w:val="0"/>
          <w:iCs w:val="0"/>
          <w:vanish w:val="0"/>
          <w:color w:val="auto"/>
          <w:u w:val="none"/>
        </w:rPr>
      </w:lvl>
    </w:lvlOverride>
    <w:lvlOverride w:ilvl="2">
      <w:lvl w:ilvl="2">
        <w:start w:val="1"/>
        <w:numFmt w:val="lowerLetter"/>
        <w:pStyle w:val="Heading3"/>
        <w:lvlText w:val="(%3)"/>
        <w:lvlJc w:val="left"/>
        <w:pPr>
          <w:tabs>
            <w:tab w:val="num" w:pos="270"/>
          </w:tabs>
          <w:ind w:left="270" w:firstLine="1440"/>
        </w:pPr>
        <w:rPr>
          <w:rFonts w:hint="default"/>
          <w:b w:val="0"/>
          <w:i w:val="0"/>
          <w:vanish w:val="0"/>
          <w:color w:val="auto"/>
          <w:u w:val="none"/>
        </w:rPr>
      </w:lvl>
    </w:lvlOverride>
    <w:lvlOverride w:ilvl="3">
      <w:lvl w:ilvl="3">
        <w:start w:val="1"/>
        <w:numFmt w:val="upperLetter"/>
        <w:suff w:val="nothing"/>
        <w:lvlText w:val="Appendix %4"/>
        <w:lvlJc w:val="left"/>
        <w:pPr>
          <w:ind w:left="0" w:firstLine="0"/>
        </w:pPr>
        <w:rPr>
          <w:rFonts w:ascii="Times New Roman Bold" w:hAnsi="Times New Roman Bold" w:hint="default"/>
          <w:b/>
          <w:i w:val="0"/>
          <w:caps/>
          <w:vanish w:val="0"/>
          <w:sz w:val="24"/>
          <w:szCs w:val="24"/>
          <w:u w:val="none"/>
        </w:rPr>
      </w:lvl>
    </w:lvlOverride>
    <w:lvlOverride w:ilvl="4">
      <w:lvl w:ilvl="4">
        <w:start w:val="1"/>
        <w:numFmt w:val="upperLetter"/>
        <w:pStyle w:val="Heading5"/>
        <w:lvlText w:val="(%5)"/>
        <w:lvlJc w:val="left"/>
        <w:pPr>
          <w:ind w:left="1440" w:firstLine="1440"/>
        </w:pPr>
        <w:rPr>
          <w:rFonts w:hint="default"/>
          <w:vanish w:val="0"/>
          <w:u w:val="none"/>
        </w:rPr>
      </w:lvl>
    </w:lvlOverride>
    <w:lvlOverride w:ilvl="5">
      <w:lvl w:ilvl="5">
        <w:start w:val="1"/>
        <w:numFmt w:val="decimal"/>
        <w:pStyle w:val="Heading6"/>
        <w:lvlText w:val="(%6)"/>
        <w:lvlJc w:val="left"/>
        <w:pPr>
          <w:ind w:left="0" w:firstLine="3600"/>
        </w:pPr>
        <w:rPr>
          <w:rFonts w:hint="default"/>
          <w:vanish w:val="0"/>
          <w:u w:val="none"/>
        </w:rPr>
      </w:lvl>
    </w:lvlOverride>
    <w:lvlOverride w:ilvl="6">
      <w:lvl w:ilvl="6">
        <w:start w:val="1"/>
        <w:numFmt w:val="lowerRoman"/>
        <w:pStyle w:val="Heading7"/>
        <w:lvlText w:val="%7)"/>
        <w:lvlJc w:val="right"/>
        <w:pPr>
          <w:ind w:left="0" w:firstLine="4680"/>
        </w:pPr>
        <w:rPr>
          <w:rFonts w:hint="default"/>
          <w:vanish w:val="0"/>
          <w:u w:val="none"/>
        </w:rPr>
      </w:lvl>
    </w:lvlOverride>
    <w:lvlOverride w:ilvl="7">
      <w:lvl w:ilvl="7">
        <w:start w:val="1"/>
        <w:numFmt w:val="decimal"/>
        <w:pStyle w:val="Heading8"/>
        <w:lvlText w:val="%8)"/>
        <w:lvlJc w:val="left"/>
        <w:pPr>
          <w:tabs>
            <w:tab w:val="num" w:pos="5760"/>
          </w:tabs>
          <w:ind w:left="0" w:firstLine="5040"/>
        </w:pPr>
        <w:rPr>
          <w:rFonts w:hint="default"/>
          <w:vanish w:val="0"/>
          <w:u w:val="none"/>
        </w:rPr>
      </w:lvl>
    </w:lvlOverride>
    <w:lvlOverride w:ilvl="8">
      <w:lvl w:ilvl="8">
        <w:start w:val="1"/>
        <w:numFmt w:val="lowerRoman"/>
        <w:pStyle w:val="Heading9"/>
        <w:lvlText w:val="%9."/>
        <w:lvlJc w:val="right"/>
        <w:pPr>
          <w:tabs>
            <w:tab w:val="num" w:pos="1584"/>
          </w:tabs>
          <w:ind w:left="1584" w:hanging="144"/>
        </w:pPr>
        <w:rPr>
          <w:rFonts w:hint="default"/>
          <w:vanish w:val="0"/>
          <w:u w:val="none"/>
        </w:rPr>
      </w:lvl>
    </w:lvlOverride>
  </w:num>
  <w:num w:numId="14">
    <w:abstractNumId w:val="15"/>
  </w:num>
  <w:num w:numId="15">
    <w:abstractNumId w:val="10"/>
  </w:num>
  <w:num w:numId="16">
    <w:abstractNumId w:val="14"/>
  </w:num>
  <w:num w:numId="17">
    <w:abstractNumId w:val="9"/>
  </w:num>
  <w:num w:numId="18">
    <w:abstractNumId w:val="1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10"/>
  </w:num>
  <w:num w:numId="25">
    <w:abstractNumId w:val="10"/>
  </w:num>
  <w:num w:numId="26">
    <w:abstractNumId w:val="1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enterLevel1TOC" w:val="False"/>
    <w:docVar w:name="DocIDAuthor" w:val="False"/>
    <w:docVar w:name="DocIDClientMatter" w:val="False"/>
    <w:docVar w:name="DocIDDate" w:val="False"/>
    <w:docVar w:name="DocIDDateText" w:val="False"/>
    <w:docVar w:name="DocIDLibrary" w:val="True"/>
    <w:docVar w:name="DocIDType" w:val="AllPages"/>
    <w:docVar w:name="DocIDTypist" w:val="False"/>
    <w:docVar w:name="ExcludeDirectFormattingInTOC1" w:val="True"/>
    <w:docVar w:name="IncludeTOCAndPageHeadings" w:val="True"/>
    <w:docVar w:name="LegacyDocIDRemoved" w:val="True"/>
    <w:docVar w:name="NoNumberLevel1TOC" w:val="False"/>
    <w:docVar w:name="StyleSeparatorCheck" w:val="True"/>
    <w:docVar w:name="TOCFormatConst" w:val="0"/>
    <w:docVar w:name="TOCFormatPreference" w:val="Leave TOC styles 'as is' in current document (default)"/>
    <w:docVar w:name="TOCHeadingAllCaps" w:val="True"/>
    <w:docVar w:name="TOCHeadingUnderlined" w:val="False"/>
    <w:docVar w:name="TOCIncludeNonHeadings" w:val="False"/>
    <w:docVar w:name="TOCIncludeSectionBreaks1" w:val="False"/>
    <w:docVar w:name="TOCPageUnderlined" w:val="False"/>
    <w:docVar w:name="TOCPosition" w:val="3"/>
    <w:docVar w:name="TOCRestartPageNumbering1" w:val="False"/>
    <w:docVar w:name="TOCRun" w:val="True"/>
    <w:docVar w:name="TOCSelectedNumberFormat1" w:val="Roman"/>
    <w:docVar w:name="TOCSpecialLevels1" w:val="True"/>
    <w:docVar w:name="UnderlineTOCLevel1" w:val="False"/>
    <w:docVar w:name="UpperLevelTOC" w:val="1,1"/>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1" w:qFormat="1"/>
    <w:lsdException w:name="heading 2" w:semiHidden="1" w:uiPriority="13" w:unhideWhenUsed="1" w:qFormat="1"/>
    <w:lsdException w:name="heading 3" w:semiHidden="1" w:uiPriority="15" w:unhideWhenUsed="1" w:qFormat="1"/>
    <w:lsdException w:name="heading 4" w:semiHidden="1" w:uiPriority="17" w:unhideWhenUsed="1" w:qFormat="1"/>
    <w:lsdException w:name="heading 5" w:semiHidden="1" w:uiPriority="19" w:unhideWhenUsed="1" w:qFormat="1"/>
    <w:lsdException w:name="heading 6" w:semiHidden="1" w:uiPriority="21" w:unhideWhenUsed="1" w:qFormat="1"/>
    <w:lsdException w:name="heading 7" w:semiHidden="1" w:uiPriority="23" w:unhideWhenUsed="1" w:qFormat="1"/>
    <w:lsdException w:name="heading 8" w:semiHidden="1" w:uiPriority="9" w:unhideWhenUsed="1" w:qFormat="1"/>
    <w:lsdException w:name="heading 9" w:semiHidden="1" w:uiPriority="2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ind w:firstLine="720"/>
      <w:jc w:val="both"/>
    </w:pPr>
    <w:rPr>
      <w:rFonts w:ascii="Times New Roman" w:hAnsi="Times New Roman" w:cs="Times New Roman"/>
    </w:rPr>
  </w:style>
  <w:style w:type="paragraph" w:styleId="Heading1">
    <w:name w:val="heading 1"/>
    <w:aliases w:val="h1"/>
    <w:basedOn w:val="Normal"/>
    <w:next w:val="Normal"/>
    <w:link w:val="Heading1Char"/>
    <w:uiPriority w:val="11"/>
    <w:qFormat/>
    <w:pPr>
      <w:numPr>
        <w:numId w:val="5"/>
      </w:numPr>
      <w:spacing w:line="240" w:lineRule="auto"/>
      <w:jc w:val="center"/>
      <w:outlineLvl w:val="0"/>
    </w:pPr>
    <w:rPr>
      <w:rFonts w:ascii="Times New Roman Bold" w:eastAsia="PMingLiU" w:hAnsi="Times New Roman Bold" w:cs="Times New Roman Bold"/>
      <w:b/>
      <w:caps/>
      <w:kern w:val="28"/>
      <w:sz w:val="24"/>
      <w:szCs w:val="24"/>
    </w:rPr>
  </w:style>
  <w:style w:type="paragraph" w:styleId="Heading2">
    <w:name w:val="heading 2"/>
    <w:aliases w:val="h2"/>
    <w:basedOn w:val="Normal"/>
    <w:next w:val="Normal"/>
    <w:link w:val="Heading2Char"/>
    <w:uiPriority w:val="13"/>
    <w:qFormat/>
    <w:pPr>
      <w:numPr>
        <w:ilvl w:val="1"/>
        <w:numId w:val="5"/>
      </w:numPr>
      <w:spacing w:line="240" w:lineRule="auto"/>
      <w:outlineLvl w:val="1"/>
    </w:pPr>
    <w:rPr>
      <w:rFonts w:eastAsia="PMingLiU"/>
      <w:b/>
      <w:i/>
      <w:sz w:val="24"/>
      <w:szCs w:val="20"/>
    </w:rPr>
  </w:style>
  <w:style w:type="paragraph" w:styleId="Heading3">
    <w:name w:val="heading 3"/>
    <w:aliases w:val="h3"/>
    <w:basedOn w:val="Normal"/>
    <w:next w:val="Normal"/>
    <w:link w:val="Heading3Char"/>
    <w:uiPriority w:val="15"/>
    <w:qFormat/>
    <w:pPr>
      <w:numPr>
        <w:ilvl w:val="2"/>
        <w:numId w:val="5"/>
      </w:numPr>
      <w:spacing w:line="240" w:lineRule="auto"/>
      <w:outlineLvl w:val="2"/>
    </w:pPr>
    <w:rPr>
      <w:rFonts w:eastAsia="PMingLiU"/>
      <w:sz w:val="24"/>
      <w:szCs w:val="20"/>
    </w:rPr>
  </w:style>
  <w:style w:type="paragraph" w:styleId="Heading4">
    <w:name w:val="heading 4"/>
    <w:aliases w:val="h4"/>
    <w:basedOn w:val="Normal"/>
    <w:next w:val="Normal"/>
    <w:link w:val="Heading4Char"/>
    <w:uiPriority w:val="17"/>
    <w:qFormat/>
    <w:pPr>
      <w:spacing w:line="240" w:lineRule="auto"/>
      <w:ind w:firstLine="0"/>
      <w:outlineLvl w:val="3"/>
    </w:pPr>
    <w:rPr>
      <w:rFonts w:eastAsia="PMingLiU"/>
      <w:sz w:val="24"/>
      <w:szCs w:val="24"/>
    </w:rPr>
  </w:style>
  <w:style w:type="paragraph" w:styleId="Heading5">
    <w:name w:val="heading 5"/>
    <w:aliases w:val="h5"/>
    <w:basedOn w:val="Normal"/>
    <w:next w:val="Normal"/>
    <w:link w:val="Heading5Char"/>
    <w:uiPriority w:val="19"/>
    <w:qFormat/>
    <w:pPr>
      <w:numPr>
        <w:ilvl w:val="4"/>
        <w:numId w:val="5"/>
      </w:numPr>
      <w:spacing w:line="240" w:lineRule="auto"/>
      <w:outlineLvl w:val="4"/>
    </w:pPr>
    <w:rPr>
      <w:rFonts w:eastAsia="PMingLiU"/>
      <w:sz w:val="24"/>
      <w:szCs w:val="24"/>
    </w:rPr>
  </w:style>
  <w:style w:type="paragraph" w:styleId="Heading6">
    <w:name w:val="heading 6"/>
    <w:aliases w:val="h6"/>
    <w:basedOn w:val="Normal"/>
    <w:next w:val="Normal"/>
    <w:link w:val="Heading6Char"/>
    <w:uiPriority w:val="21"/>
    <w:qFormat/>
    <w:pPr>
      <w:numPr>
        <w:ilvl w:val="5"/>
        <w:numId w:val="5"/>
      </w:numPr>
      <w:spacing w:line="240" w:lineRule="auto"/>
      <w:outlineLvl w:val="5"/>
    </w:pPr>
    <w:rPr>
      <w:rFonts w:eastAsia="PMingLiU"/>
      <w:sz w:val="24"/>
      <w:szCs w:val="24"/>
    </w:rPr>
  </w:style>
  <w:style w:type="paragraph" w:styleId="Heading7">
    <w:name w:val="heading 7"/>
    <w:aliases w:val="h7"/>
    <w:basedOn w:val="Normal"/>
    <w:next w:val="Normal"/>
    <w:link w:val="Heading7Char"/>
    <w:uiPriority w:val="23"/>
    <w:qFormat/>
    <w:pPr>
      <w:numPr>
        <w:ilvl w:val="6"/>
        <w:numId w:val="5"/>
      </w:numPr>
      <w:spacing w:line="240" w:lineRule="auto"/>
      <w:outlineLvl w:val="6"/>
    </w:pPr>
    <w:rPr>
      <w:rFonts w:eastAsia="PMingLiU"/>
      <w:sz w:val="24"/>
      <w:szCs w:val="24"/>
    </w:rPr>
  </w:style>
  <w:style w:type="paragraph" w:styleId="Heading8">
    <w:name w:val="heading 8"/>
    <w:aliases w:val="h8"/>
    <w:basedOn w:val="Normal"/>
    <w:next w:val="Normal"/>
    <w:link w:val="Heading8Char"/>
    <w:uiPriority w:val="9"/>
    <w:qFormat/>
    <w:pPr>
      <w:numPr>
        <w:ilvl w:val="7"/>
        <w:numId w:val="5"/>
      </w:numPr>
      <w:spacing w:line="240" w:lineRule="auto"/>
      <w:outlineLvl w:val="7"/>
    </w:pPr>
    <w:rPr>
      <w:rFonts w:eastAsia="PMingLiU"/>
      <w:sz w:val="24"/>
      <w:szCs w:val="24"/>
    </w:rPr>
  </w:style>
  <w:style w:type="paragraph" w:styleId="Heading9">
    <w:name w:val="heading 9"/>
    <w:aliases w:val="h9"/>
    <w:basedOn w:val="Normal"/>
    <w:next w:val="Normal"/>
    <w:link w:val="Heading9Char"/>
    <w:uiPriority w:val="27"/>
    <w:qFormat/>
    <w:pPr>
      <w:numPr>
        <w:ilvl w:val="8"/>
        <w:numId w:val="5"/>
      </w:numPr>
      <w:spacing w:after="60" w:line="240" w:lineRule="auto"/>
      <w:outlineLvl w:val="8"/>
    </w:pPr>
    <w:rPr>
      <w:rFonts w:ascii="Arial" w:eastAsia="PMingLiU" w:hAnsi="Arial"/>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N1">
    <w:name w:val="N1"/>
    <w:basedOn w:val="ListParagraph"/>
    <w:qFormat/>
    <w:pPr>
      <w:numPr>
        <w:numId w:val="1"/>
      </w:numPr>
      <w:contextualSpacing w:val="0"/>
    </w:pPr>
    <w:rPr>
      <w:b/>
    </w:rPr>
  </w:style>
  <w:style w:type="paragraph" w:customStyle="1" w:styleId="N2">
    <w:name w:val="N2"/>
    <w:basedOn w:val="N1"/>
    <w:qFormat/>
    <w:pPr>
      <w:numPr>
        <w:ilvl w:val="1"/>
      </w:numPr>
    </w:pPr>
    <w:rPr>
      <w:b w:val="0"/>
    </w:rPr>
  </w:style>
  <w:style w:type="paragraph" w:customStyle="1" w:styleId="N3">
    <w:name w:val="N3"/>
    <w:basedOn w:val="N2"/>
    <w:qFormat/>
    <w:pPr>
      <w:numPr>
        <w:ilvl w:val="2"/>
      </w:numPr>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hAnsi="Times New Roman" w:cs="Times New Roman"/>
    </w:rPr>
  </w:style>
  <w:style w:type="paragraph" w:styleId="BodyTextFirstIndent">
    <w:name w:val="Body Text First Indent"/>
    <w:basedOn w:val="BodyText"/>
    <w:link w:val="BodyTextFirstIndentChar"/>
    <w:uiPriority w:val="99"/>
    <w:unhideWhenUsed/>
    <w:pPr>
      <w:spacing w:after="240" w:line="240" w:lineRule="auto"/>
    </w:pPr>
    <w:rPr>
      <w:rFonts w:eastAsia="PMingLiU"/>
      <w:sz w:val="24"/>
      <w:szCs w:val="24"/>
    </w:rPr>
  </w:style>
  <w:style w:type="character" w:customStyle="1" w:styleId="BodyTextFirstIndentChar">
    <w:name w:val="Body Text First Indent Char"/>
    <w:basedOn w:val="BodyTextChar"/>
    <w:link w:val="BodyTextFirstIndent"/>
    <w:uiPriority w:val="99"/>
    <w:rPr>
      <w:rFonts w:ascii="Times New Roman" w:eastAsia="PMingLiU"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aliases w:val="h1 Char"/>
    <w:basedOn w:val="DefaultParagraphFont"/>
    <w:link w:val="Heading1"/>
    <w:uiPriority w:val="11"/>
    <w:rPr>
      <w:rFonts w:ascii="Times New Roman Bold" w:eastAsia="PMingLiU" w:hAnsi="Times New Roman Bold" w:cs="Times New Roman Bold"/>
      <w:b/>
      <w:caps/>
      <w:kern w:val="28"/>
      <w:sz w:val="24"/>
      <w:szCs w:val="24"/>
    </w:rPr>
  </w:style>
  <w:style w:type="character" w:customStyle="1" w:styleId="Heading2Char">
    <w:name w:val="Heading 2 Char"/>
    <w:aliases w:val="h2 Char"/>
    <w:basedOn w:val="DefaultParagraphFont"/>
    <w:link w:val="Heading2"/>
    <w:uiPriority w:val="13"/>
    <w:rPr>
      <w:rFonts w:ascii="Times New Roman" w:eastAsia="PMingLiU" w:hAnsi="Times New Roman" w:cs="Times New Roman"/>
      <w:b/>
      <w:i/>
      <w:sz w:val="24"/>
      <w:szCs w:val="20"/>
    </w:rPr>
  </w:style>
  <w:style w:type="character" w:customStyle="1" w:styleId="Heading3Char">
    <w:name w:val="Heading 3 Char"/>
    <w:aliases w:val="h3 Char"/>
    <w:basedOn w:val="DefaultParagraphFont"/>
    <w:link w:val="Heading3"/>
    <w:uiPriority w:val="15"/>
    <w:rPr>
      <w:rFonts w:ascii="Times New Roman" w:eastAsia="PMingLiU" w:hAnsi="Times New Roman" w:cs="Times New Roman"/>
      <w:sz w:val="24"/>
      <w:szCs w:val="20"/>
    </w:rPr>
  </w:style>
  <w:style w:type="character" w:customStyle="1" w:styleId="Heading4Char">
    <w:name w:val="Heading 4 Char"/>
    <w:aliases w:val="h4 Char"/>
    <w:basedOn w:val="DefaultParagraphFont"/>
    <w:link w:val="Heading4"/>
    <w:uiPriority w:val="17"/>
    <w:rPr>
      <w:rFonts w:ascii="Times New Roman" w:eastAsia="PMingLiU" w:hAnsi="Times New Roman" w:cs="Times New Roman"/>
      <w:sz w:val="24"/>
      <w:szCs w:val="24"/>
    </w:rPr>
  </w:style>
  <w:style w:type="character" w:customStyle="1" w:styleId="Heading5Char">
    <w:name w:val="Heading 5 Char"/>
    <w:aliases w:val="h5 Char"/>
    <w:basedOn w:val="DefaultParagraphFont"/>
    <w:link w:val="Heading5"/>
    <w:uiPriority w:val="19"/>
    <w:rPr>
      <w:rFonts w:ascii="Times New Roman" w:eastAsia="PMingLiU" w:hAnsi="Times New Roman" w:cs="Times New Roman"/>
      <w:sz w:val="24"/>
      <w:szCs w:val="24"/>
    </w:rPr>
  </w:style>
  <w:style w:type="character" w:customStyle="1" w:styleId="Heading6Char">
    <w:name w:val="Heading 6 Char"/>
    <w:aliases w:val="h6 Char"/>
    <w:basedOn w:val="DefaultParagraphFont"/>
    <w:link w:val="Heading6"/>
    <w:uiPriority w:val="21"/>
    <w:rPr>
      <w:rFonts w:ascii="Times New Roman" w:eastAsia="PMingLiU" w:hAnsi="Times New Roman" w:cs="Times New Roman"/>
      <w:sz w:val="24"/>
      <w:szCs w:val="24"/>
    </w:rPr>
  </w:style>
  <w:style w:type="character" w:customStyle="1" w:styleId="Heading7Char">
    <w:name w:val="Heading 7 Char"/>
    <w:aliases w:val="h7 Char"/>
    <w:basedOn w:val="DefaultParagraphFont"/>
    <w:link w:val="Heading7"/>
    <w:uiPriority w:val="23"/>
    <w:rPr>
      <w:rFonts w:ascii="Times New Roman" w:eastAsia="PMingLiU" w:hAnsi="Times New Roman" w:cs="Times New Roman"/>
      <w:sz w:val="24"/>
      <w:szCs w:val="24"/>
    </w:rPr>
  </w:style>
  <w:style w:type="character" w:customStyle="1" w:styleId="Heading8Char">
    <w:name w:val="Heading 8 Char"/>
    <w:aliases w:val="h8 Char"/>
    <w:basedOn w:val="DefaultParagraphFont"/>
    <w:link w:val="Heading8"/>
    <w:uiPriority w:val="9"/>
    <w:rPr>
      <w:rFonts w:ascii="Times New Roman" w:eastAsia="PMingLiU" w:hAnsi="Times New Roman" w:cs="Times New Roman"/>
      <w:sz w:val="24"/>
      <w:szCs w:val="24"/>
    </w:rPr>
  </w:style>
  <w:style w:type="character" w:customStyle="1" w:styleId="Heading9Char">
    <w:name w:val="Heading 9 Char"/>
    <w:aliases w:val="h9 Char"/>
    <w:basedOn w:val="DefaultParagraphFont"/>
    <w:link w:val="Heading9"/>
    <w:uiPriority w:val="27"/>
    <w:rPr>
      <w:rFonts w:ascii="Arial" w:eastAsia="PMingLiU" w:hAnsi="Arial" w:cs="Times New Roman"/>
      <w:b/>
      <w:i/>
      <w:sz w:val="18"/>
      <w:szCs w:val="24"/>
    </w:rPr>
  </w:style>
  <w:style w:type="paragraph" w:customStyle="1" w:styleId="HeadingBody2">
    <w:name w:val="HeadingBody 2"/>
    <w:basedOn w:val="Normal"/>
    <w:next w:val="Normal"/>
    <w:link w:val="HeadingBody2Char"/>
    <w:pPr>
      <w:spacing w:line="240" w:lineRule="auto"/>
    </w:pPr>
    <w:rPr>
      <w:rFonts w:eastAsia="PMingLiU"/>
      <w:sz w:val="24"/>
      <w:szCs w:val="24"/>
    </w:rPr>
  </w:style>
  <w:style w:type="character" w:customStyle="1" w:styleId="HeadingBody2Char">
    <w:name w:val="HeadingBody 2 Char"/>
    <w:basedOn w:val="Heading2Char"/>
    <w:link w:val="HeadingBody2"/>
    <w:rPr>
      <w:rFonts w:ascii="Times New Roman" w:eastAsia="PMingLiU" w:hAnsi="Times New Roman" w:cs="Times New Roman"/>
      <w:b w:val="0"/>
      <w:i w:val="0"/>
      <w:sz w:val="24"/>
      <w:szCs w:val="24"/>
    </w:rPr>
  </w:style>
  <w:style w:type="paragraph" w:customStyle="1" w:styleId="normal2">
    <w:name w:val="normal2"/>
    <w:basedOn w:val="Normal"/>
    <w:pPr>
      <w:spacing w:before="240" w:after="0" w:line="240" w:lineRule="atLeast"/>
      <w:ind w:firstLine="1440"/>
      <w:jc w:val="left"/>
    </w:pPr>
    <w:rPr>
      <w:rFonts w:eastAsia="Times New Roman"/>
      <w:sz w:val="26"/>
      <w:szCs w:val="20"/>
      <w:lang w:eastAsia="zh-CN"/>
    </w:rPr>
  </w:style>
  <w:style w:type="character" w:customStyle="1" w:styleId="normaltextrun">
    <w:name w:val="normaltextrun"/>
    <w:basedOn w:val="DefaultParagraphFont"/>
  </w:style>
  <w:style w:type="paragraph" w:customStyle="1" w:styleId="DocID">
    <w:name w:val="DocID"/>
    <w:basedOn w:val="Footer"/>
    <w:next w:val="Footer"/>
    <w:link w:val="DocIDChar"/>
    <w:pPr>
      <w:tabs>
        <w:tab w:val="clear" w:pos="4680"/>
        <w:tab w:val="clear" w:pos="9360"/>
      </w:tabs>
      <w:ind w:firstLine="0"/>
      <w:jc w:val="left"/>
    </w:pPr>
    <w:rPr>
      <w:rFonts w:eastAsia="Times New Roman"/>
      <w:sz w:val="18"/>
      <w:szCs w:val="20"/>
    </w:rPr>
  </w:style>
  <w:style w:type="paragraph" w:styleId="Revision">
    <w:name w:val="Revision"/>
    <w:hidden/>
    <w:uiPriority w:val="99"/>
    <w:semiHidden/>
    <w:pPr>
      <w:spacing w:after="0" w:line="240" w:lineRule="auto"/>
    </w:pPr>
    <w:rPr>
      <w:rFonts w:ascii="Times New Roman" w:hAnsi="Times New Roman" w:cs="Times New Roman"/>
    </w:rPr>
  </w:style>
  <w:style w:type="paragraph" w:customStyle="1" w:styleId="Decimaloutlinedc1">
    <w:name w:val="Decimal_outlinedc_1"/>
    <w:basedOn w:val="Normal"/>
    <w:pPr>
      <w:numPr>
        <w:numId w:val="8"/>
      </w:numPr>
      <w:spacing w:line="240" w:lineRule="auto"/>
      <w:jc w:val="left"/>
      <w:outlineLvl w:val="0"/>
    </w:pPr>
    <w:rPr>
      <w:sz w:val="24"/>
    </w:rPr>
  </w:style>
  <w:style w:type="paragraph" w:customStyle="1" w:styleId="APPENDIXoutlinedc1">
    <w:name w:val="APPENDIX_outlinedc_1"/>
    <w:basedOn w:val="Normal"/>
    <w:pPr>
      <w:numPr>
        <w:numId w:val="15"/>
      </w:numPr>
      <w:jc w:val="center"/>
      <w:outlineLvl w:val="0"/>
    </w:pPr>
    <w:rPr>
      <w:b/>
    </w:rPr>
  </w:style>
  <w:style w:type="paragraph" w:customStyle="1" w:styleId="APPENDIXoutlinedc2">
    <w:name w:val="APPENDIX_outlinedc_2"/>
    <w:basedOn w:val="Normal"/>
    <w:pPr>
      <w:numPr>
        <w:ilvl w:val="1"/>
        <w:numId w:val="15"/>
      </w:numPr>
      <w:spacing w:before="360"/>
      <w:outlineLvl w:val="1"/>
    </w:pPr>
    <w:rPr>
      <w:b/>
    </w:rPr>
  </w:style>
  <w:style w:type="paragraph" w:customStyle="1" w:styleId="APPENDIXoutlinedc3">
    <w:name w:val="APPENDIX_outlinedc_3"/>
    <w:basedOn w:val="Normal"/>
    <w:pPr>
      <w:numPr>
        <w:ilvl w:val="2"/>
        <w:numId w:val="15"/>
      </w:numPr>
      <w:spacing w:before="360"/>
      <w:outlineLvl w:val="2"/>
    </w:pPr>
  </w:style>
  <w:style w:type="paragraph" w:customStyle="1" w:styleId="APPENDIXoutlinedc4">
    <w:name w:val="APPENDIX_outlinedc_4"/>
    <w:basedOn w:val="Normal"/>
    <w:link w:val="APPENDIXoutlinedc4Char"/>
    <w:pPr>
      <w:numPr>
        <w:ilvl w:val="3"/>
        <w:numId w:val="15"/>
      </w:numPr>
      <w:outlineLvl w:val="3"/>
    </w:pPr>
  </w:style>
  <w:style w:type="paragraph" w:customStyle="1" w:styleId="APPENDIXoutlinedc5">
    <w:name w:val="APPENDIX_outlinedc_5"/>
    <w:basedOn w:val="Normal"/>
    <w:pPr>
      <w:numPr>
        <w:ilvl w:val="4"/>
        <w:numId w:val="15"/>
      </w:numPr>
      <w:outlineLvl w:val="4"/>
    </w:pPr>
  </w:style>
  <w:style w:type="paragraph" w:customStyle="1" w:styleId="APPENDIXoutlinedc6">
    <w:name w:val="APPENDIX_outlinedc_6"/>
    <w:basedOn w:val="Normal"/>
    <w:pPr>
      <w:numPr>
        <w:ilvl w:val="5"/>
        <w:numId w:val="15"/>
      </w:numPr>
      <w:spacing w:after="120" w:line="240" w:lineRule="auto"/>
      <w:outlineLvl w:val="5"/>
    </w:pPr>
    <w:rPr>
      <w:b/>
      <w:sz w:val="24"/>
    </w:rPr>
  </w:style>
  <w:style w:type="paragraph" w:customStyle="1" w:styleId="APPENDIXoutlinedc7">
    <w:name w:val="APPENDIX_outlinedc_7"/>
    <w:basedOn w:val="Normal"/>
    <w:pPr>
      <w:numPr>
        <w:ilvl w:val="6"/>
        <w:numId w:val="15"/>
      </w:numPr>
      <w:spacing w:line="240" w:lineRule="auto"/>
      <w:outlineLvl w:val="6"/>
    </w:pPr>
    <w:rPr>
      <w:sz w:val="24"/>
    </w:rPr>
  </w:style>
  <w:style w:type="paragraph" w:customStyle="1" w:styleId="APPENDIXoutlinedc8">
    <w:name w:val="APPENDIX_outlinedc_8"/>
    <w:basedOn w:val="Normal"/>
    <w:pPr>
      <w:numPr>
        <w:ilvl w:val="7"/>
        <w:numId w:val="15"/>
      </w:numPr>
      <w:spacing w:after="120" w:line="240" w:lineRule="auto"/>
      <w:outlineLvl w:val="7"/>
    </w:pPr>
    <w:rPr>
      <w:sz w:val="24"/>
    </w:rPr>
  </w:style>
  <w:style w:type="paragraph" w:customStyle="1" w:styleId="UpperLetteroutlinedc1">
    <w:name w:val="UpperLetter_outlinedc_1"/>
    <w:basedOn w:val="Normal"/>
    <w:pPr>
      <w:numPr>
        <w:numId w:val="3"/>
      </w:numPr>
      <w:outlineLvl w:val="0"/>
    </w:pPr>
  </w:style>
  <w:style w:type="paragraph" w:customStyle="1" w:styleId="Decimaloutlinedc11">
    <w:name w:val="Decimal_outlinedc(1)_1"/>
    <w:basedOn w:val="Normal"/>
    <w:pPr>
      <w:numPr>
        <w:numId w:val="17"/>
      </w:numPr>
      <w:outlineLvl w:val="0"/>
    </w:pPr>
  </w:style>
  <w:style w:type="paragraph" w:customStyle="1" w:styleId="Decimaloutlinedc12">
    <w:name w:val="Decimal_outlinedc(1)_2"/>
    <w:basedOn w:val="Normal"/>
    <w:pPr>
      <w:numPr>
        <w:ilvl w:val="1"/>
        <w:numId w:val="17"/>
      </w:numPr>
      <w:outlineLvl w:val="1"/>
    </w:pPr>
  </w:style>
  <w:style w:type="paragraph" w:customStyle="1" w:styleId="Decimaloutlinedc22">
    <w:name w:val="Decimal_outlinedc(2)_2"/>
    <w:basedOn w:val="Normal"/>
    <w:pPr>
      <w:numPr>
        <w:ilvl w:val="1"/>
        <w:numId w:val="18"/>
      </w:numPr>
      <w:outlineLvl w:val="1"/>
    </w:pPr>
  </w:style>
  <w:style w:type="paragraph" w:customStyle="1" w:styleId="Decimaloutlinedc23">
    <w:name w:val="Decimal_outlinedc(2)_3"/>
    <w:basedOn w:val="Normal"/>
    <w:pPr>
      <w:numPr>
        <w:ilvl w:val="2"/>
        <w:numId w:val="18"/>
      </w:numPr>
      <w:outlineLvl w:val="2"/>
    </w:pPr>
  </w:style>
  <w:style w:type="paragraph" w:styleId="TOCHeading">
    <w:name w:val="TOC Heading"/>
    <w:basedOn w:val="Normal"/>
    <w:next w:val="TOC1"/>
    <w:uiPriority w:val="39"/>
    <w:unhideWhenUsed/>
    <w:qFormat/>
    <w:pPr>
      <w:keepNext/>
      <w:keepLines/>
      <w:spacing w:before="240" w:line="240" w:lineRule="auto"/>
      <w:ind w:firstLine="0"/>
      <w:jc w:val="center"/>
    </w:pPr>
    <w:rPr>
      <w:rFonts w:eastAsiaTheme="majorEastAsia"/>
      <w:b/>
      <w:caps/>
      <w:color w:val="000000"/>
      <w:szCs w:val="32"/>
    </w:rPr>
  </w:style>
  <w:style w:type="paragraph" w:styleId="TOC1">
    <w:name w:val="toc 1"/>
    <w:basedOn w:val="Normal"/>
    <w:next w:val="Normal"/>
    <w:autoRedefine/>
    <w:uiPriority w:val="39"/>
    <w:unhideWhenUsed/>
    <w:pPr>
      <w:tabs>
        <w:tab w:val="left" w:pos="1100"/>
        <w:tab w:val="right" w:leader="dot" w:pos="9350"/>
      </w:tabs>
      <w:spacing w:after="100"/>
      <w:ind w:firstLine="0"/>
    </w:pPr>
  </w:style>
  <w:style w:type="paragraph" w:styleId="TOC2">
    <w:name w:val="toc 2"/>
    <w:basedOn w:val="Normal"/>
    <w:next w:val="Normal"/>
    <w:autoRedefine/>
    <w:uiPriority w:val="39"/>
    <w:semiHidden/>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customStyle="1" w:styleId="TOCPage">
    <w:name w:val="TOC Page"/>
    <w:basedOn w:val="Normal"/>
    <w:next w:val="Normal"/>
    <w:link w:val="TOCPageChar"/>
    <w:pPr>
      <w:spacing w:line="240" w:lineRule="auto"/>
      <w:ind w:firstLine="0"/>
      <w:jc w:val="right"/>
    </w:pPr>
    <w:rPr>
      <w:b/>
      <w:szCs w:val="28"/>
    </w:rPr>
  </w:style>
  <w:style w:type="character" w:customStyle="1" w:styleId="TOCPageChar">
    <w:name w:val="TOC Page Char"/>
    <w:basedOn w:val="DefaultParagraphFont"/>
    <w:link w:val="TOCPage"/>
    <w:rPr>
      <w:rFonts w:ascii="Times New Roman" w:hAnsi="Times New Roman" w:cs="Times New Roman"/>
      <w:b/>
      <w:szCs w:val="28"/>
    </w:rPr>
  </w:style>
  <w:style w:type="character" w:styleId="Hyperlink">
    <w:name w:val="Hyperlink"/>
    <w:basedOn w:val="DefaultParagraphFont"/>
    <w:uiPriority w:val="99"/>
    <w:unhideWhenUsed/>
    <w:rPr>
      <w:color w:val="0563C1" w:themeColor="hyperlink"/>
      <w:u w:val="single"/>
    </w:rPr>
  </w:style>
  <w:style w:type="paragraph" w:customStyle="1" w:styleId="Center">
    <w:name w:val="Center"/>
    <w:basedOn w:val="N1"/>
    <w:qFormat/>
    <w:pPr>
      <w:numPr>
        <w:numId w:val="0"/>
      </w:numPr>
      <w:ind w:left="576" w:hanging="576"/>
      <w:jc w:val="center"/>
    </w:pPr>
  </w:style>
  <w:style w:type="character" w:customStyle="1" w:styleId="APPENDIXoutlinedc4Char">
    <w:name w:val="APPENDIX_outlinedc_4 Char"/>
    <w:basedOn w:val="DefaultParagraphFont"/>
    <w:link w:val="APPENDIXoutlinedc4"/>
    <w:rPr>
      <w:rFonts w:ascii="Times New Roman" w:hAnsi="Times New Roman" w:cs="Times New Roman"/>
    </w:rPr>
  </w:style>
  <w:style w:type="character" w:customStyle="1" w:styleId="DocIDChar">
    <w:name w:val="DocID Char"/>
    <w:basedOn w:val="APPENDIXoutlinedc4Char"/>
    <w:link w:val="DocID"/>
    <w:rPr>
      <w:rFonts w:ascii="Times New Roman" w:eastAsia="Times New Roman" w:hAnsi="Times New Roman" w:cs="Times New Roman"/>
      <w:sz w:val="18"/>
      <w:szCs w:val="20"/>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348182">
      <w:bodyDiv w:val="1"/>
      <w:marLeft w:val="0"/>
      <w:marRight w:val="0"/>
      <w:marTop w:val="0"/>
      <w:marBottom w:val="0"/>
      <w:divBdr>
        <w:top w:val="none" w:sz="0" w:space="0" w:color="auto"/>
        <w:left w:val="none" w:sz="0" w:space="0" w:color="auto"/>
        <w:bottom w:val="none" w:sz="0" w:space="0" w:color="auto"/>
        <w:right w:val="none" w:sz="0" w:space="0" w:color="auto"/>
      </w:divBdr>
    </w:div>
    <w:div w:id="735662690">
      <w:bodyDiv w:val="1"/>
      <w:marLeft w:val="0"/>
      <w:marRight w:val="0"/>
      <w:marTop w:val="0"/>
      <w:marBottom w:val="0"/>
      <w:divBdr>
        <w:top w:val="none" w:sz="0" w:space="0" w:color="auto"/>
        <w:left w:val="none" w:sz="0" w:space="0" w:color="auto"/>
        <w:bottom w:val="none" w:sz="0" w:space="0" w:color="auto"/>
        <w:right w:val="none" w:sz="0" w:space="0" w:color="auto"/>
      </w:divBdr>
    </w:div>
    <w:div w:id="1382948038">
      <w:bodyDiv w:val="1"/>
      <w:marLeft w:val="0"/>
      <w:marRight w:val="0"/>
      <w:marTop w:val="0"/>
      <w:marBottom w:val="0"/>
      <w:divBdr>
        <w:top w:val="none" w:sz="0" w:space="0" w:color="auto"/>
        <w:left w:val="none" w:sz="0" w:space="0" w:color="auto"/>
        <w:bottom w:val="none" w:sz="0" w:space="0" w:color="auto"/>
        <w:right w:val="none" w:sz="0" w:space="0" w:color="auto"/>
      </w:divBdr>
    </w:div>
    <w:div w:id="1586767759">
      <w:bodyDiv w:val="1"/>
      <w:marLeft w:val="0"/>
      <w:marRight w:val="0"/>
      <w:marTop w:val="0"/>
      <w:marBottom w:val="0"/>
      <w:divBdr>
        <w:top w:val="none" w:sz="0" w:space="0" w:color="auto"/>
        <w:left w:val="none" w:sz="0" w:space="0" w:color="auto"/>
        <w:bottom w:val="none" w:sz="0" w:space="0" w:color="auto"/>
        <w:right w:val="none" w:sz="0" w:space="0" w:color="auto"/>
      </w:divBdr>
    </w:div>
    <w:div w:id="1614173444">
      <w:bodyDiv w:val="1"/>
      <w:marLeft w:val="0"/>
      <w:marRight w:val="0"/>
      <w:marTop w:val="0"/>
      <w:marBottom w:val="0"/>
      <w:divBdr>
        <w:top w:val="none" w:sz="0" w:space="0" w:color="auto"/>
        <w:left w:val="none" w:sz="0" w:space="0" w:color="auto"/>
        <w:bottom w:val="none" w:sz="0" w:space="0" w:color="auto"/>
        <w:right w:val="none" w:sz="0" w:space="0" w:color="auto"/>
      </w:divBdr>
    </w:div>
    <w:div w:id="174221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0.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fms xmlns="dbe189f2-33cc-49da-83a0-e3adac0b502e" xsi:nil="true"/>
  </documentManagement>
</p:properties>
</file>

<file path=customXml/item2.xml>��< ? x m l   v e r s i o n = " 1 . 0 "   e n c o d i n g = " u t f - 1 6 " ? > < p r o p e r t i e s   x m l n s = " h t t p : / / w w w . i m a n a g e . c o m / w o r k / x m l s c h e m a " >  
     < d o c u m e n t i d > A c t i v e ! 1 1 7 8 1 3 9 5 6 . 1 < / d o c u m e n t i d >  
     < s e n d e r i d > E B A R T H < / s e n d e r i d >  
     < s e n d e r e m a i l > E M I L . B A R T H @ B A K E R B O T T S . C O M < / s e n d e r e m a i l >  
     < l a s t m o d i f i e d > 2 0 2 4 - 0 5 - 1 4 T 2 0 : 2 3 : 0 0 . 0 0 0 0 0 0 0 - 0 4 : 0 0 < / l a s t m o d i f i e d >  
     < d a t a b a s e > A c t i v e < / 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C7515C8745AB43ABF8E27DB5D2B9DB" ma:contentTypeVersion="5" ma:contentTypeDescription="Create a new document." ma:contentTypeScope="" ma:versionID="7976afc8f1bcab8374ae5fc0fdee6d31">
  <xsd:schema xmlns:xsd="http://www.w3.org/2001/XMLSchema" xmlns:xs="http://www.w3.org/2001/XMLSchema" xmlns:p="http://schemas.microsoft.com/office/2006/metadata/properties" xmlns:ns2="1fbcb9d6-207f-4e16-a5d1-f89975f2d4d3" xmlns:ns3="dbe189f2-33cc-49da-83a0-e3adac0b502e" targetNamespace="http://schemas.microsoft.com/office/2006/metadata/properties" ma:root="true" ma:fieldsID="ad3cd09868fe650efc10839e7c374e21" ns2:_="" ns3:_="">
    <xsd:import namespace="1fbcb9d6-207f-4e16-a5d1-f89975f2d4d3"/>
    <xsd:import namespace="dbe189f2-33cc-49da-83a0-e3adac0b502e"/>
    <xsd:element name="properties">
      <xsd:complexType>
        <xsd:sequence>
          <xsd:element name="documentManagement">
            <xsd:complexType>
              <xsd:all>
                <xsd:element ref="ns2:SharedWithUsers" minOccurs="0"/>
                <xsd:element ref="ns2:SharedWithDetails" minOccurs="0"/>
                <xsd:element ref="ns3:df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cb9d6-207f-4e16-a5d1-f89975f2d4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e189f2-33cc-49da-83a0-e3adac0b502e" elementFormDefault="qualified">
    <xsd:import namespace="http://schemas.microsoft.com/office/2006/documentManagement/types"/>
    <xsd:import namespace="http://schemas.microsoft.com/office/infopath/2007/PartnerControls"/>
    <xsd:element name="dfms" ma:index="10" nillable="true" ma:displayName="Date and Time" ma:internalName="df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5204D-DF18-4DBC-8981-6AA576C9F2D3}">
  <ds:schemaRefs>
    <ds:schemaRef ds:uri="http://schemas.microsoft.com/office/infopath/2007/PartnerControls"/>
    <ds:schemaRef ds:uri="1fbcb9d6-207f-4e16-a5d1-f89975f2d4d3"/>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dbe189f2-33cc-49da-83a0-e3adac0b502e"/>
    <ds:schemaRef ds:uri="http://www.w3.org/XML/1998/namespace"/>
    <ds:schemaRef ds:uri="http://purl.org/dc/dcmitype/"/>
  </ds:schemaRefs>
</ds:datastoreItem>
</file>

<file path=customXml/itemProps2.xml><?xml version="1.0" encoding="utf-8"?>
<ds:datastoreItem xmlns:ds="http://schemas.openxmlformats.org/officeDocument/2006/customXml" ds:itemID="{479F3201-1C5A-4AE9-8C2F-24800F1803DE}">
  <ds:schemaRefs>
    <ds:schemaRef ds:uri="http://www.imanage.com/work/xmlschema"/>
  </ds:schemaRefs>
</ds:datastoreItem>
</file>

<file path=customXml/itemProps3.xml><?xml version="1.0" encoding="utf-8"?>
<ds:datastoreItem xmlns:ds="http://schemas.openxmlformats.org/officeDocument/2006/customXml" ds:itemID="{5DDD2487-4D83-4983-875D-3013EB7DD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cb9d6-207f-4e16-a5d1-f89975f2d4d3"/>
    <ds:schemaRef ds:uri="dbe189f2-33cc-49da-83a0-e3adac0b5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EF778E-C2EF-43C8-9439-C425F726B293}">
  <ds:schemaRefs>
    <ds:schemaRef ds:uri="http://schemas.microsoft.com/sharepoint/v3/contenttype/forms"/>
  </ds:schemaRefs>
</ds:datastoreItem>
</file>

<file path=customXml/itemProps5.xml><?xml version="1.0" encoding="utf-8"?>
<ds:datastoreItem xmlns:ds="http://schemas.openxmlformats.org/officeDocument/2006/customXml" ds:itemID="{6DE01D5A-186C-40C6-AA47-736C35F8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22001</Words>
  <Characters>125407</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2024-05-16T19:27:00Z</dcterms:created>
  <dcterms:modified xsi:type="dcterms:W3CDTF">2024-05-16T19:27:00Z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117813956</vt:lpwstr>
  </property>
  <property fmtid="{D5CDD505-2E9C-101B-9397-08002B2CF9AE}" pid="3" name="DocumentVersion">
    <vt:lpwstr>1</vt:lpwstr>
  </property>
  <property fmtid="{D5CDD505-2E9C-101B-9397-08002B2CF9AE}" pid="4" name="ClientNumber">
    <vt:lpwstr>080240</vt:lpwstr>
  </property>
  <property fmtid="{D5CDD505-2E9C-101B-9397-08002B2CF9AE}" pid="5" name="MatterNumber">
    <vt:lpwstr>0147</vt:lpwstr>
  </property>
  <property fmtid="{D5CDD505-2E9C-101B-9397-08002B2CF9AE}" pid="6" name="ClientName">
    <vt:lpwstr>Puget Sound Energy, Inc.</vt:lpwstr>
  </property>
  <property fmtid="{D5CDD505-2E9C-101B-9397-08002B2CF9AE}" pid="7" name="MatterName">
    <vt:lpwstr>Distributed Solar and Storage RFP PSE Order No.: 92300346</vt:lpwstr>
  </property>
  <property fmtid="{D5CDD505-2E9C-101B-9397-08002B2CF9AE}" pid="8" name="DatabaseName">
    <vt:lpwstr>ACTIVE</vt:lpwstr>
  </property>
  <property fmtid="{D5CDD505-2E9C-101B-9397-08002B2CF9AE}" pid="9" name="TypistName">
    <vt:lpwstr>EBARTH</vt:lpwstr>
  </property>
  <property fmtid="{D5CDD505-2E9C-101B-9397-08002B2CF9AE}" pid="10" name="AuthorName">
    <vt:lpwstr>EBARTH</vt:lpwstr>
  </property>
  <property fmtid="{D5CDD505-2E9C-101B-9397-08002B2CF9AE}" pid="11" name="InUseBy">
    <vt:lpwstr/>
  </property>
  <property fmtid="{D5CDD505-2E9C-101B-9397-08002B2CF9AE}" pid="12" name="EditDate">
    <vt:lpwstr>1/1/0001 12:00:00 AM</vt:lpwstr>
  </property>
  <property fmtid="{D5CDD505-2E9C-101B-9397-08002B2CF9AE}" pid="13" name="EditTime">
    <vt:lpwstr/>
  </property>
  <property fmtid="{D5CDD505-2E9C-101B-9397-08002B2CF9AE}" pid="14" name="IsiManageWork">
    <vt:lpwstr>True</vt:lpwstr>
  </property>
</Properties>
</file>